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盐城市未来产业支持政策十六条</w:t>
      </w:r>
    </w:p>
    <w:p>
      <w:pPr>
        <w:spacing w:before="120" w:beforeLines="50" w:line="57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（征求意见稿）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为贯彻落实国家、省市关于加快培育发展未来产业决策部署，聚焦“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4+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5+X”未来产业方向，培植创新发展新优势，加快形成新质生产力，结合我市实际，现制定以下支持政策：</w:t>
      </w:r>
    </w:p>
    <w:p>
      <w:pPr>
        <w:spacing w:line="57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一、支持技术攻关筑基础</w:t>
      </w:r>
    </w:p>
    <w:p>
      <w:pPr>
        <w:pStyle w:val="7"/>
        <w:adjustRightInd w:val="0"/>
        <w:snapToGrid w:val="0"/>
        <w:spacing w:before="0" w:after="0" w:line="570" w:lineRule="exact"/>
        <w:ind w:firstLine="640"/>
        <w:rPr>
          <w:rFonts w:ascii="Times New Roman" w:hAnsi="Times New Roman" w:eastAsia="方正楷体_GBK"/>
        </w:rPr>
      </w:pPr>
      <w:r>
        <w:rPr>
          <w:rFonts w:hint="eastAsia" w:ascii="Times New Roman" w:hAnsi="Times New Roman"/>
          <w:bCs w:val="0"/>
          <w:kern w:val="2"/>
          <w:lang w:val="en-US"/>
        </w:rPr>
        <w:t>第一条</w:t>
      </w:r>
      <w:r>
        <w:rPr>
          <w:rFonts w:ascii="Times New Roman" w:hAnsi="Times New Roman" w:eastAsia="方正仿宋_GBK"/>
          <w:b/>
        </w:rPr>
        <w:t xml:space="preserve">  </w:t>
      </w:r>
      <w:r>
        <w:rPr>
          <w:rFonts w:hint="eastAsia" w:ascii="Times New Roman" w:hAnsi="Times New Roman" w:eastAsia="方正仿宋_GBK"/>
        </w:rPr>
        <w:t>支持研发机构开展未来技术基础研究和应用基础研究，加快实现更多“从</w:t>
      </w:r>
      <w:r>
        <w:rPr>
          <w:rFonts w:ascii="Times New Roman" w:hAnsi="Times New Roman" w:eastAsia="方正仿宋_GBK"/>
        </w:rPr>
        <w:t>0</w:t>
      </w:r>
      <w:r>
        <w:rPr>
          <w:rFonts w:hint="eastAsia" w:ascii="Times New Roman" w:hAnsi="Times New Roman" w:eastAsia="方正仿宋_GBK"/>
        </w:rPr>
        <w:t>到</w:t>
      </w:r>
      <w:r>
        <w:rPr>
          <w:rFonts w:ascii="Times New Roman" w:hAnsi="Times New Roman" w:eastAsia="方正仿宋_GBK"/>
        </w:rPr>
        <w:t>1</w:t>
      </w:r>
      <w:r>
        <w:rPr>
          <w:rFonts w:hint="eastAsia" w:ascii="Times New Roman" w:hAnsi="Times New Roman" w:eastAsia="方正仿宋_GBK"/>
        </w:rPr>
        <w:t>”的突破。对纳入省“应用基础研究特区”试点的单位，按照省财政资金奖补标准给予一定比例奖励。支持重大科研平台开展技术攻关、工程验证等预先研究，对纳入省重大科技基础设施预研储备的项目，按照“一事一议”方式给予资金保障。</w:t>
      </w:r>
    </w:p>
    <w:p>
      <w:pPr>
        <w:pStyle w:val="7"/>
        <w:adjustRightInd w:val="0"/>
        <w:snapToGrid w:val="0"/>
        <w:spacing w:before="0" w:after="0" w:line="570" w:lineRule="exact"/>
        <w:ind w:firstLine="640"/>
        <w:rPr>
          <w:rFonts w:ascii="Times New Roman" w:hAnsi="Times New Roman" w:eastAsia="方正仿宋_GBK"/>
        </w:rPr>
      </w:pPr>
      <w:r>
        <w:rPr>
          <w:rFonts w:hint="eastAsia" w:ascii="Times New Roman" w:hAnsi="Times New Roman"/>
          <w:bCs w:val="0"/>
          <w:kern w:val="2"/>
          <w:lang w:val="en-US"/>
        </w:rPr>
        <w:t>第二条</w:t>
      </w:r>
      <w:r>
        <w:rPr>
          <w:rFonts w:ascii="Times New Roman" w:hAnsi="Times New Roman" w:eastAsia="方正仿宋_GBK"/>
          <w:bCs w:val="0"/>
          <w:kern w:val="2"/>
          <w:lang w:val="en-US"/>
        </w:rPr>
        <w:t xml:space="preserve">  </w:t>
      </w:r>
      <w:r>
        <w:rPr>
          <w:rFonts w:hint="eastAsia" w:ascii="Times New Roman" w:hAnsi="Times New Roman" w:eastAsia="方正仿宋_GBK"/>
        </w:rPr>
        <w:t>支持企业开展未来关键核心技术攻关，加快攻克一批“卡脖子”技术。对符合未来产业导向且取得一定成果的关键技术研发项目，根据其设备和技术投入，给予最高</w:t>
      </w:r>
      <w:r>
        <w:rPr>
          <w:rFonts w:ascii="Times New Roman" w:hAnsi="Times New Roman" w:eastAsia="方正仿宋_GBK"/>
        </w:rPr>
        <w:t>1000</w:t>
      </w:r>
      <w:r>
        <w:rPr>
          <w:rFonts w:hint="eastAsia" w:ascii="Times New Roman" w:hAnsi="Times New Roman" w:eastAsia="方正仿宋_GBK"/>
        </w:rPr>
        <w:t>万元奖励。支持未来产业领域优势科研力量开展协同攻关，对牵头承担国家、省关键核心技术攻关和科技重大专项的单位，按要求给予配套，单个项目最高</w:t>
      </w:r>
      <w:r>
        <w:rPr>
          <w:rFonts w:ascii="Times New Roman" w:hAnsi="Times New Roman" w:eastAsia="方正仿宋_GBK"/>
        </w:rPr>
        <w:t>1000</w:t>
      </w:r>
      <w:r>
        <w:rPr>
          <w:rFonts w:hint="eastAsia" w:ascii="Times New Roman" w:hAnsi="Times New Roman" w:eastAsia="方正仿宋_GBK"/>
        </w:rPr>
        <w:t>万元。</w:t>
      </w:r>
    </w:p>
    <w:p>
      <w:pPr>
        <w:pStyle w:val="7"/>
        <w:adjustRightInd w:val="0"/>
        <w:snapToGrid w:val="0"/>
        <w:spacing w:before="0" w:after="0" w:line="570" w:lineRule="exact"/>
        <w:ind w:firstLine="640"/>
        <w:rPr>
          <w:rFonts w:ascii="Times New Roman" w:hAnsi="Times New Roman" w:eastAsia="方正仿宋_GBK"/>
        </w:rPr>
      </w:pPr>
      <w:r>
        <w:rPr>
          <w:rFonts w:hint="eastAsia" w:ascii="Times New Roman" w:hAnsi="Times New Roman"/>
          <w:bCs w:val="0"/>
          <w:kern w:val="2"/>
          <w:lang w:val="en-US"/>
        </w:rPr>
        <w:t>第三条</w:t>
      </w:r>
      <w:r>
        <w:rPr>
          <w:rFonts w:ascii="Times New Roman" w:hAnsi="Times New Roman" w:eastAsia="方正仿宋_GBK"/>
          <w:b/>
        </w:rPr>
        <w:t xml:space="preserve">  </w:t>
      </w:r>
      <w:r>
        <w:rPr>
          <w:rFonts w:hint="eastAsia" w:ascii="Times New Roman" w:hAnsi="Times New Roman" w:eastAsia="方正仿宋_GBK"/>
        </w:rPr>
        <w:t>支持未来产业领域战略科技力量布局，对新建国家实验室（基地）、产业（技术、制造业）创新中心、工程研究中心，按照“一事一议”方式给予支持。支持未来产业重点领域、关键环节单点技术创新能力建设，对新认定的省级未来产业（技术）研究院给予最高</w:t>
      </w:r>
      <w:r>
        <w:rPr>
          <w:rFonts w:ascii="Times New Roman" w:hAnsi="Times New Roman" w:eastAsia="方正仿宋_GBK"/>
        </w:rPr>
        <w:t>300</w:t>
      </w:r>
      <w:r>
        <w:rPr>
          <w:rFonts w:hint="eastAsia" w:ascii="Times New Roman" w:hAnsi="Times New Roman" w:eastAsia="方正仿宋_GBK"/>
        </w:rPr>
        <w:t>万元奖励，对新认定的省级产业（技术、制造业）创新中心、工程研究中心，分别给予</w:t>
      </w:r>
      <w:r>
        <w:rPr>
          <w:rFonts w:ascii="Times New Roman" w:hAnsi="Times New Roman" w:eastAsia="方正仿宋_GBK"/>
        </w:rPr>
        <w:t>200</w:t>
      </w:r>
      <w:r>
        <w:rPr>
          <w:rFonts w:hint="eastAsia" w:ascii="Times New Roman" w:hAnsi="Times New Roman" w:eastAsia="方正仿宋_GBK"/>
        </w:rPr>
        <w:t>万元、</w:t>
      </w:r>
      <w:r>
        <w:rPr>
          <w:rFonts w:ascii="Times New Roman" w:hAnsi="Times New Roman" w:eastAsia="方正仿宋_GBK"/>
        </w:rPr>
        <w:t>50</w:t>
      </w:r>
      <w:r>
        <w:rPr>
          <w:rFonts w:hint="eastAsia" w:ascii="Times New Roman" w:hAnsi="Times New Roman" w:eastAsia="方正仿宋_GBK"/>
        </w:rPr>
        <w:t>万元奖励。支持上述平台实施创新基础能力提升项目，根据其设备和技术投入，给予最高</w:t>
      </w:r>
      <w:r>
        <w:rPr>
          <w:rFonts w:ascii="Times New Roman" w:hAnsi="Times New Roman" w:eastAsia="方正仿宋_GBK"/>
        </w:rPr>
        <w:t>500</w:t>
      </w:r>
      <w:r>
        <w:rPr>
          <w:rFonts w:hint="eastAsia" w:ascii="Times New Roman" w:hAnsi="Times New Roman" w:eastAsia="方正仿宋_GBK"/>
        </w:rPr>
        <w:t>万元的奖励。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bCs/>
          <w:kern w:val="28"/>
          <w:sz w:val="32"/>
          <w:szCs w:val="32"/>
          <w:lang w:val="zh-CN"/>
        </w:rPr>
        <w:t>第四条</w:t>
      </w:r>
      <w:r>
        <w:rPr>
          <w:rFonts w:ascii="Times New Roman" w:hAnsi="Times New Roman" w:eastAsia="方正仿宋_GBK"/>
          <w:b/>
          <w:bCs/>
          <w:kern w:val="28"/>
          <w:sz w:val="32"/>
          <w:szCs w:val="32"/>
          <w:lang w:val="zh-CN"/>
        </w:rPr>
        <w:t xml:space="preserve">  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支持未来技术创新成果转化，对概念验证中心提供未来技术熟化、工程化放大、原型制造和可靠性验证等技术服务的，按其上年度服务费的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20%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给予支持，总额不超过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200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万元。鼓励企事业单位提出未来产业领域的概念验证，每个项目按实际支付费用的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10%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给予支持，单个项目最高不超过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5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万元。对新认定的省级未来产业概念验证中心，参照省财政资金奖补标准给予一定比例奖励，最高不超过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100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万元。</w:t>
      </w:r>
    </w:p>
    <w:p>
      <w:pPr>
        <w:pStyle w:val="7"/>
        <w:adjustRightInd w:val="0"/>
        <w:snapToGrid w:val="0"/>
        <w:spacing w:before="0" w:after="0" w:line="570" w:lineRule="exact"/>
        <w:ind w:firstLine="640"/>
        <w:rPr>
          <w:rFonts w:ascii="Times New Roman" w:hAnsi="Times New Roman" w:eastAsia="方正仿宋_GBK"/>
          <w:bCs w:val="0"/>
          <w:kern w:val="2"/>
          <w:lang w:val="en-US"/>
        </w:rPr>
      </w:pPr>
      <w:r>
        <w:rPr>
          <w:rFonts w:hint="eastAsia" w:ascii="Times New Roman" w:hAnsi="Times New Roman"/>
          <w:bCs w:val="0"/>
          <w:kern w:val="2"/>
          <w:lang w:val="en-US"/>
        </w:rPr>
        <w:t>第五条</w:t>
      </w:r>
      <w:r>
        <w:rPr>
          <w:rFonts w:ascii="Times New Roman" w:hAnsi="Times New Roman" w:eastAsia="方正仿宋_GBK"/>
          <w:bCs w:val="0"/>
          <w:kern w:val="2"/>
          <w:lang w:val="en-US"/>
        </w:rPr>
        <w:t xml:space="preserve">  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支持未来产业标准研制，对制（修）订且发布团体标准、地方标准的第一起草单位，根据评估结果分别给予最高</w:t>
      </w:r>
      <w:r>
        <w:rPr>
          <w:rFonts w:ascii="Times New Roman" w:hAnsi="Times New Roman" w:eastAsia="方正仿宋_GBK"/>
          <w:bCs w:val="0"/>
          <w:kern w:val="2"/>
          <w:lang w:val="en-US"/>
        </w:rPr>
        <w:t>10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万元、</w:t>
      </w:r>
      <w:r>
        <w:rPr>
          <w:rFonts w:ascii="Times New Roman" w:hAnsi="Times New Roman" w:eastAsia="方正仿宋_GBK"/>
          <w:bCs w:val="0"/>
          <w:kern w:val="2"/>
          <w:lang w:val="en-US"/>
        </w:rPr>
        <w:t>30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万元奖励；对制（修）订且经批准发布行业标准、国家标准和国际标准的第一起草单位，分别给予最高</w:t>
      </w:r>
      <w:r>
        <w:rPr>
          <w:rFonts w:ascii="Times New Roman" w:hAnsi="Times New Roman" w:eastAsia="方正仿宋_GBK"/>
          <w:bCs w:val="0"/>
          <w:kern w:val="2"/>
          <w:lang w:val="en-US"/>
        </w:rPr>
        <w:t>50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万元、</w:t>
      </w:r>
      <w:r>
        <w:rPr>
          <w:rFonts w:ascii="Times New Roman" w:hAnsi="Times New Roman" w:eastAsia="方正仿宋_GBK"/>
          <w:bCs w:val="0"/>
          <w:kern w:val="2"/>
          <w:lang w:val="en-US"/>
        </w:rPr>
        <w:t>100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万元和</w:t>
      </w:r>
      <w:r>
        <w:rPr>
          <w:rFonts w:ascii="Times New Roman" w:hAnsi="Times New Roman" w:eastAsia="方正仿宋_GBK"/>
          <w:bCs w:val="0"/>
          <w:kern w:val="2"/>
          <w:lang w:val="en-US"/>
        </w:rPr>
        <w:t>200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万元奖励。对承担未来产业领域国际（或全国）标准化专业技术委员会、标准化分技术委员会工作的企业和单位，分别给予最高</w:t>
      </w:r>
      <w:r>
        <w:rPr>
          <w:rFonts w:ascii="Times New Roman" w:hAnsi="Times New Roman" w:eastAsia="方正仿宋_GBK"/>
          <w:bCs w:val="0"/>
          <w:kern w:val="2"/>
          <w:lang w:val="en-US"/>
        </w:rPr>
        <w:t>50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万元、</w:t>
      </w:r>
      <w:r>
        <w:rPr>
          <w:rFonts w:ascii="Times New Roman" w:hAnsi="Times New Roman" w:eastAsia="方正仿宋_GBK"/>
          <w:bCs w:val="0"/>
          <w:kern w:val="2"/>
          <w:lang w:val="en-US"/>
        </w:rPr>
        <w:t>30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万元一次性奖励。支持引进未来产业领域国际技术标准组织或分支机构，分别给予最高</w:t>
      </w:r>
      <w:r>
        <w:rPr>
          <w:rFonts w:ascii="Times New Roman" w:hAnsi="Times New Roman" w:eastAsia="方正仿宋_GBK"/>
          <w:bCs w:val="0"/>
          <w:kern w:val="2"/>
          <w:lang w:val="en-US"/>
        </w:rPr>
        <w:t>100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万、</w:t>
      </w:r>
      <w:r>
        <w:rPr>
          <w:rFonts w:ascii="Times New Roman" w:hAnsi="Times New Roman" w:eastAsia="方正仿宋_GBK"/>
          <w:bCs w:val="0"/>
          <w:kern w:val="2"/>
          <w:lang w:val="en-US"/>
        </w:rPr>
        <w:t>50</w:t>
      </w:r>
      <w:r>
        <w:rPr>
          <w:rFonts w:hint="eastAsia" w:ascii="Times New Roman" w:hAnsi="Times New Roman" w:eastAsia="方正仿宋_GBK"/>
          <w:bCs w:val="0"/>
          <w:kern w:val="2"/>
          <w:lang w:val="en-US"/>
        </w:rPr>
        <w:t>万元支持。</w:t>
      </w:r>
    </w:p>
    <w:p>
      <w:pPr>
        <w:spacing w:line="57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二、支持主体壮大育动能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第六条</w:t>
      </w:r>
      <w:r>
        <w:rPr>
          <w:rFonts w:ascii="Times New Roman" w:hAnsi="Times New Roman" w:eastAsia="方正仿宋_GBK"/>
          <w:b/>
          <w:bCs/>
          <w:kern w:val="28"/>
          <w:sz w:val="32"/>
          <w:szCs w:val="32"/>
          <w:lang w:val="zh-CN"/>
        </w:rPr>
        <w:t xml:space="preserve">  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支持围绕“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4+5+X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”未来产业体系，引进具有前瞻性、引领性、突破性的重大项目。对新招引未来产业细分领域的项目，由各地结合招商引资政策兑现奖励，并优化审批和土地、能耗、污染物排放等要素保障。对按期建成项目，根据其设备投入，给予最高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1000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万元奖励；对按期投运并列统纳规的项目，给予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50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万元一次性奖励。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第七条</w:t>
      </w:r>
      <w:r>
        <w:rPr>
          <w:rFonts w:ascii="Times New Roman" w:hAnsi="Times New Roman" w:eastAsia="方正仿宋_GBK"/>
          <w:b/>
          <w:bCs/>
          <w:kern w:val="28"/>
          <w:sz w:val="32"/>
          <w:szCs w:val="32"/>
          <w:lang w:val="zh-CN"/>
        </w:rPr>
        <w:t xml:space="preserve">  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支持未来产业创新型企业梯队建设，对首次列入省未来科技创新示范企业培育库的给予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50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万元一次性奖励，对新认定的省未来科技创新示范企业给予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100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万元一次性奖励，对新认定的省未来科技创新领军企业给予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150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万元一次性奖励。支持未来产业企业做大做强，对列入年度重点工业新增长点培育计划的企业，按年度新增实时销售达到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亿元、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3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亿元、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5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亿元，分别给予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50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万元、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100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万元、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150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万元奖励。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第八条</w:t>
      </w:r>
      <w:r>
        <w:rPr>
          <w:rFonts w:ascii="Times New Roman" w:hAnsi="Times New Roman" w:eastAsia="方正黑体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支持跨区域、跨行业的协同创新型未来产业先导区建设，对新认定的国家级、省级未来产业先导区，分别给予</w:t>
      </w:r>
      <w:r>
        <w:rPr>
          <w:rFonts w:ascii="Times New Roman" w:hAnsi="Times New Roman" w:eastAsia="方正仿宋_GBK"/>
          <w:sz w:val="32"/>
          <w:szCs w:val="32"/>
        </w:rPr>
        <w:t>500</w:t>
      </w:r>
      <w:r>
        <w:rPr>
          <w:rFonts w:hint="eastAsia" w:ascii="Times New Roman" w:hAnsi="Times New Roman" w:eastAsia="方正仿宋_GBK"/>
          <w:sz w:val="32"/>
          <w:szCs w:val="32"/>
        </w:rPr>
        <w:t>万元、</w:t>
      </w:r>
      <w:r>
        <w:rPr>
          <w:rFonts w:ascii="Times New Roman" w:hAnsi="Times New Roman" w:eastAsia="方正仿宋_GBK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sz w:val="32"/>
          <w:szCs w:val="32"/>
        </w:rPr>
        <w:t>万元奖励。支持省级以上高新区、开发区或优势高校建设未来产业科技园，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对新认定的国家级、省级未来产业科技园试点的分别最高奖励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100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万元、</w:t>
      </w:r>
      <w:r>
        <w:rPr>
          <w:rFonts w:ascii="Times New Roman" w:hAnsi="Times New Roman" w:eastAsia="方正仿宋_GBK"/>
          <w:bCs/>
          <w:kern w:val="28"/>
          <w:sz w:val="32"/>
          <w:szCs w:val="32"/>
          <w:lang w:val="zh-CN"/>
        </w:rPr>
        <w:t>50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万元。</w:t>
      </w:r>
      <w:r>
        <w:rPr>
          <w:rFonts w:hint="eastAsia" w:ascii="Times New Roman" w:hAnsi="Times New Roman" w:eastAsia="方正仿宋_GBK"/>
          <w:sz w:val="32"/>
          <w:szCs w:val="32"/>
        </w:rPr>
        <w:t>对未来产业先导区、科技园自建或共建计量、认证、检验检测、工业设计等产业公共服务平台，按其设备投入的</w:t>
      </w:r>
      <w:r>
        <w:rPr>
          <w:rFonts w:ascii="Times New Roman" w:hAnsi="Times New Roman" w:eastAsia="方正仿宋_GBK"/>
          <w:sz w:val="32"/>
          <w:szCs w:val="32"/>
        </w:rPr>
        <w:t>15%</w:t>
      </w:r>
      <w:r>
        <w:rPr>
          <w:rFonts w:hint="eastAsia" w:ascii="Times New Roman" w:hAnsi="Times New Roman" w:eastAsia="方正仿宋_GBK"/>
          <w:sz w:val="32"/>
          <w:szCs w:val="32"/>
        </w:rPr>
        <w:t>给予一次性建设补贴，最高</w:t>
      </w:r>
      <w:r>
        <w:rPr>
          <w:rFonts w:ascii="Times New Roman" w:hAnsi="Times New Roman" w:eastAsia="方正仿宋_GBK"/>
          <w:sz w:val="32"/>
          <w:szCs w:val="32"/>
        </w:rPr>
        <w:t>500</w:t>
      </w:r>
      <w:r>
        <w:rPr>
          <w:rFonts w:hint="eastAsia" w:ascii="Times New Roman" w:hAnsi="Times New Roman" w:eastAsia="方正仿宋_GBK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三、支持场景打造拓市场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第九条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支持高校院所和企业依托重大科技基础设施、重大科技平台等，搭建未来技术早期应用场景，对入选市优秀示范应用场景的项目，按照评价结果，分别给予</w:t>
      </w:r>
      <w:r>
        <w:rPr>
          <w:rFonts w:ascii="Times New Roman" w:hAnsi="Times New Roman" w:eastAsia="方正仿宋_GBK"/>
          <w:sz w:val="32"/>
          <w:szCs w:val="32"/>
        </w:rPr>
        <w:t>50</w:t>
      </w:r>
      <w:r>
        <w:rPr>
          <w:rFonts w:hint="eastAsia" w:ascii="Times New Roman" w:hAnsi="Times New Roman" w:eastAsia="方正仿宋_GBK"/>
          <w:sz w:val="32"/>
          <w:szCs w:val="32"/>
        </w:rPr>
        <w:t>万元、</w:t>
      </w:r>
      <w:r>
        <w:rPr>
          <w:rFonts w:ascii="Times New Roman" w:hAnsi="Times New Roman" w:eastAsia="方正仿宋_GBK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sz w:val="32"/>
          <w:szCs w:val="32"/>
        </w:rPr>
        <w:t>万元、</w:t>
      </w:r>
      <w:r>
        <w:rPr>
          <w:rFonts w:ascii="Times New Roman" w:hAnsi="Times New Roman" w:eastAsia="方正仿宋_GBK"/>
          <w:sz w:val="32"/>
          <w:szCs w:val="32"/>
        </w:rPr>
        <w:t>150</w:t>
      </w:r>
      <w:r>
        <w:rPr>
          <w:rFonts w:hint="eastAsia" w:ascii="Times New Roman" w:hAnsi="Times New Roman" w:eastAsia="方正仿宋_GBK"/>
          <w:sz w:val="32"/>
          <w:szCs w:val="32"/>
        </w:rPr>
        <w:t>万元一次性奖励。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第十条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支持绿色低碳技术创新应用场景建设，对企业围绕数字化绿色化协同转型发展城市、低（零）碳产业园区、新型电力系统园区等试点建设，开发的可再生能源制氢、新型储能、碳捕集利用及封存、绿色智能算力等典型示范应用场景，按照场景应用投入的</w:t>
      </w:r>
      <w:r>
        <w:rPr>
          <w:rFonts w:ascii="Times New Roman" w:hAnsi="Times New Roman" w:eastAsia="方正仿宋_GBK"/>
          <w:sz w:val="32"/>
          <w:szCs w:val="32"/>
        </w:rPr>
        <w:t>15%</w:t>
      </w:r>
      <w:r>
        <w:rPr>
          <w:rFonts w:hint="eastAsia" w:ascii="Times New Roman" w:hAnsi="Times New Roman" w:eastAsia="方正仿宋_GBK"/>
          <w:sz w:val="32"/>
          <w:szCs w:val="32"/>
        </w:rPr>
        <w:t>，给予建设单位最高</w:t>
      </w:r>
      <w:r>
        <w:rPr>
          <w:rFonts w:ascii="Times New Roman" w:hAnsi="Times New Roman" w:eastAsia="方正仿宋_GBK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sz w:val="32"/>
          <w:szCs w:val="32"/>
        </w:rPr>
        <w:t>万元的奖励。对上述场景入选国家、省试点示范应用场景的，按照“一事一议”方式给予奖励。</w:t>
      </w:r>
    </w:p>
    <w:p>
      <w:pPr>
        <w:spacing w:line="57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四、支持人才集聚强支撑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第十一条</w:t>
      </w:r>
      <w:r>
        <w:rPr>
          <w:rFonts w:ascii="Times New Roman" w:hAnsi="Times New Roman" w:eastAsia="方正黑体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系统引培掌握未来技术的创新人才（团队），对急需的顶尖科学家、领军人才或团队，按照“一事一议”方式给予支持。对外资研发中心吸纳引进的科技专家，支持申报省级以上高层次人才引进计划。高质量建设外国专家工作室，对新认定的省级外国专家工作室，给予最高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万元奖励。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第十二条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持续加强高素质应用型人才、复合型人才、创新型人才储备，支持在盐高校面向“</w:t>
      </w:r>
      <w:r>
        <w:rPr>
          <w:rFonts w:ascii="Times New Roman" w:hAnsi="Times New Roman" w:eastAsia="方正仿宋_GBK"/>
          <w:sz w:val="32"/>
          <w:szCs w:val="32"/>
        </w:rPr>
        <w:t>4+5+X</w:t>
      </w:r>
      <w:r>
        <w:rPr>
          <w:rFonts w:hint="eastAsia" w:ascii="Times New Roman" w:hAnsi="Times New Roman" w:eastAsia="方正仿宋_GBK"/>
          <w:sz w:val="32"/>
          <w:szCs w:val="32"/>
        </w:rPr>
        <w:t>”未来产业建设现代产业学院，对新认定的国家级、省级现代产业学院，分别给予</w:t>
      </w:r>
      <w:r>
        <w:rPr>
          <w:rFonts w:ascii="Times New Roman" w:hAnsi="Times New Roman" w:eastAsia="方正仿宋_GBK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sz w:val="32"/>
          <w:szCs w:val="32"/>
        </w:rPr>
        <w:t>万元、</w:t>
      </w:r>
      <w:r>
        <w:rPr>
          <w:rFonts w:ascii="Times New Roman" w:hAnsi="Times New Roman" w:eastAsia="方正仿宋_GBK"/>
          <w:sz w:val="32"/>
          <w:szCs w:val="32"/>
        </w:rPr>
        <w:t>50</w:t>
      </w:r>
      <w:r>
        <w:rPr>
          <w:rFonts w:hint="eastAsia" w:ascii="Times New Roman" w:hAnsi="Times New Roman" w:eastAsia="方正仿宋_GBK"/>
          <w:sz w:val="32"/>
          <w:szCs w:val="32"/>
        </w:rPr>
        <w:t>万元的奖励。支持未来产业企业自建或与高校、高职院校共建实训基地，对年培训量在</w:t>
      </w:r>
      <w:r>
        <w:rPr>
          <w:rFonts w:ascii="Times New Roman" w:hAnsi="Times New Roman" w:eastAsia="方正仿宋_GBK"/>
          <w:sz w:val="32"/>
          <w:szCs w:val="32"/>
        </w:rPr>
        <w:t>500-1000</w:t>
      </w:r>
      <w:r>
        <w:rPr>
          <w:rFonts w:hint="eastAsia" w:ascii="Times New Roman" w:hAnsi="Times New Roman" w:eastAsia="方正仿宋_GBK"/>
          <w:sz w:val="32"/>
          <w:szCs w:val="32"/>
        </w:rPr>
        <w:t>人次、</w:t>
      </w:r>
      <w:r>
        <w:rPr>
          <w:rFonts w:ascii="Times New Roman" w:hAnsi="Times New Roman" w:eastAsia="方正仿宋_GBK"/>
          <w:sz w:val="32"/>
          <w:szCs w:val="32"/>
        </w:rPr>
        <w:t>1000-2000</w:t>
      </w:r>
      <w:r>
        <w:rPr>
          <w:rFonts w:hint="eastAsia" w:ascii="Times New Roman" w:hAnsi="Times New Roman" w:eastAsia="方正仿宋_GBK"/>
          <w:sz w:val="32"/>
          <w:szCs w:val="32"/>
        </w:rPr>
        <w:t>人次、</w:t>
      </w:r>
      <w:r>
        <w:rPr>
          <w:rFonts w:ascii="Times New Roman" w:hAnsi="Times New Roman" w:eastAsia="方正仿宋_GBK"/>
          <w:sz w:val="32"/>
          <w:szCs w:val="32"/>
        </w:rPr>
        <w:t>2000</w:t>
      </w:r>
      <w:r>
        <w:rPr>
          <w:rFonts w:hint="eastAsia" w:ascii="Times New Roman" w:hAnsi="Times New Roman" w:eastAsia="方正仿宋_GBK"/>
          <w:sz w:val="32"/>
          <w:szCs w:val="32"/>
        </w:rPr>
        <w:t>人次以上的，每年分别给予最高</w:t>
      </w:r>
      <w:r>
        <w:rPr>
          <w:rFonts w:ascii="Times New Roman" w:hAnsi="Times New Roman" w:eastAsia="方正仿宋_GBK"/>
          <w:sz w:val="32"/>
          <w:szCs w:val="32"/>
        </w:rPr>
        <w:t>30</w:t>
      </w:r>
      <w:r>
        <w:rPr>
          <w:rFonts w:hint="eastAsia" w:ascii="Times New Roman" w:hAnsi="Times New Roman" w:eastAsia="方正仿宋_GBK"/>
          <w:sz w:val="32"/>
          <w:szCs w:val="32"/>
        </w:rPr>
        <w:t>万元、</w:t>
      </w:r>
      <w:r>
        <w:rPr>
          <w:rFonts w:ascii="Times New Roman" w:hAnsi="Times New Roman" w:eastAsia="方正仿宋_GBK"/>
          <w:sz w:val="32"/>
          <w:szCs w:val="32"/>
        </w:rPr>
        <w:t>50</w:t>
      </w:r>
      <w:r>
        <w:rPr>
          <w:rFonts w:hint="eastAsia" w:ascii="Times New Roman" w:hAnsi="Times New Roman" w:eastAsia="方正仿宋_GBK"/>
          <w:sz w:val="32"/>
          <w:szCs w:val="32"/>
        </w:rPr>
        <w:t>万元、</w:t>
      </w:r>
      <w:r>
        <w:rPr>
          <w:rFonts w:ascii="Times New Roman" w:hAnsi="Times New Roman" w:eastAsia="方正仿宋_GBK"/>
          <w:sz w:val="32"/>
          <w:szCs w:val="32"/>
        </w:rPr>
        <w:t>80</w:t>
      </w:r>
      <w:r>
        <w:rPr>
          <w:rFonts w:hint="eastAsia" w:ascii="Times New Roman" w:hAnsi="Times New Roman" w:eastAsia="方正仿宋_GBK"/>
          <w:sz w:val="32"/>
          <w:szCs w:val="32"/>
        </w:rPr>
        <w:t>万元奖励。</w:t>
      </w:r>
    </w:p>
    <w:p>
      <w:pPr>
        <w:spacing w:line="57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五、支持金融赋能提质效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第十三条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设立未来产业发展专项基金，引导各类社会资本增加对未来产业投入，采取投资入股等多元化方式，推动未来产业项目做大做强。支持与天使投资、</w:t>
      </w:r>
      <w:r>
        <w:rPr>
          <w:rFonts w:ascii="Times New Roman" w:hAnsi="Times New Roman" w:eastAsia="方正仿宋_GBK"/>
          <w:sz w:val="32"/>
          <w:szCs w:val="32"/>
        </w:rPr>
        <w:t>VC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PE</w:t>
      </w:r>
      <w:r>
        <w:rPr>
          <w:rFonts w:hint="eastAsia" w:ascii="Times New Roman" w:hAnsi="Times New Roman" w:eastAsia="方正仿宋_GBK"/>
          <w:sz w:val="32"/>
          <w:szCs w:val="32"/>
        </w:rPr>
        <w:t>等投资机构在盐合作设立未来产业投资基金，按照股权投资企业实缴到位注册资本和在盐投资规模，给予最高</w:t>
      </w:r>
      <w:r>
        <w:rPr>
          <w:rFonts w:ascii="Times New Roman" w:hAnsi="Times New Roman" w:eastAsia="方正仿宋_GBK"/>
          <w:sz w:val="32"/>
          <w:szCs w:val="32"/>
        </w:rPr>
        <w:t>1000</w:t>
      </w:r>
      <w:r>
        <w:rPr>
          <w:rFonts w:hint="eastAsia" w:ascii="Times New Roman" w:hAnsi="Times New Roman" w:eastAsia="方正仿宋_GBK"/>
          <w:sz w:val="32"/>
          <w:szCs w:val="32"/>
        </w:rPr>
        <w:t>万元的奖励。对纳入省未来产业天使投资基金的项目，市产业投资母基金给予配套支持。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第十四条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支持未来产业企业上市融资，对首次在上海、深圳、北京等证券交易所公开发行股票成功上市的企业，分阶段给予</w:t>
      </w:r>
      <w:r>
        <w:rPr>
          <w:rFonts w:ascii="Times New Roman" w:hAnsi="Times New Roman" w:eastAsia="方正仿宋_GBK"/>
          <w:sz w:val="32"/>
          <w:szCs w:val="32"/>
        </w:rPr>
        <w:t>400</w:t>
      </w:r>
      <w:r>
        <w:rPr>
          <w:rFonts w:hint="eastAsia" w:ascii="Times New Roman" w:hAnsi="Times New Roman" w:eastAsia="方正仿宋_GBK"/>
          <w:sz w:val="32"/>
          <w:szCs w:val="32"/>
        </w:rPr>
        <w:t>万元奖励，对企业在境外上市的一次性给予</w:t>
      </w:r>
      <w:r>
        <w:rPr>
          <w:rFonts w:ascii="Times New Roman" w:hAnsi="Times New Roman" w:eastAsia="方正仿宋_GBK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sz w:val="32"/>
          <w:szCs w:val="32"/>
        </w:rPr>
        <w:t>万元奖励。支持未来产业知识产权证券化，对具有创新性且形成一定示范效应的知识产权证券化产品，对发行主体按其实际发行金额的</w:t>
      </w:r>
      <w:r>
        <w:rPr>
          <w:rFonts w:ascii="Times New Roman" w:hAnsi="Times New Roman" w:eastAsia="方正仿宋_GBK"/>
          <w:sz w:val="32"/>
          <w:szCs w:val="32"/>
        </w:rPr>
        <w:t>1%</w:t>
      </w:r>
      <w:r>
        <w:rPr>
          <w:rFonts w:hint="eastAsia" w:ascii="Times New Roman" w:hAnsi="Times New Roman" w:eastAsia="方正仿宋_GBK"/>
          <w:sz w:val="32"/>
          <w:szCs w:val="32"/>
        </w:rPr>
        <w:t>给予奖励，单个发行主体每年奖励不超过</w:t>
      </w:r>
      <w:r>
        <w:rPr>
          <w:rFonts w:ascii="Times New Roman" w:hAnsi="Times New Roman" w:eastAsia="方正仿宋_GBK"/>
          <w:sz w:val="32"/>
          <w:szCs w:val="32"/>
        </w:rPr>
        <w:t>100</w:t>
      </w:r>
      <w:r>
        <w:rPr>
          <w:rFonts w:hint="eastAsia" w:ascii="Times New Roman" w:hAnsi="Times New Roman" w:eastAsia="方正仿宋_GBK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六、支持开放合作增优势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第十五条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支持盐南高新区与各板块围绕“</w:t>
      </w:r>
      <w:r>
        <w:rPr>
          <w:rFonts w:ascii="Times New Roman" w:hAnsi="Times New Roman" w:eastAsia="方正仿宋_GBK"/>
          <w:sz w:val="32"/>
          <w:szCs w:val="32"/>
        </w:rPr>
        <w:t>4+5+X</w:t>
      </w:r>
      <w:r>
        <w:rPr>
          <w:rFonts w:hint="eastAsia" w:ascii="Times New Roman" w:hAnsi="Times New Roman" w:eastAsia="方正仿宋_GBK"/>
          <w:sz w:val="32"/>
          <w:szCs w:val="32"/>
        </w:rPr>
        <w:t>”未来产业建设“飞地园区”“伙伴园区”，对形成的各类科创指标实行双算、各类统计指标按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列统。支持各板块在盐南高新区建设未来产业孵化器，对新认定的省级标杆孵化器，给予</w:t>
      </w:r>
      <w:r>
        <w:rPr>
          <w:rFonts w:ascii="Times New Roman" w:hAnsi="Times New Roman" w:eastAsia="方正仿宋_GBK"/>
          <w:sz w:val="32"/>
          <w:szCs w:val="32"/>
        </w:rPr>
        <w:t>50</w:t>
      </w:r>
      <w:r>
        <w:rPr>
          <w:rFonts w:hint="eastAsia" w:ascii="Times New Roman" w:hAnsi="Times New Roman" w:eastAsia="方正仿宋_GBK"/>
          <w:sz w:val="32"/>
          <w:szCs w:val="32"/>
        </w:rPr>
        <w:t>万元奖励。</w:t>
      </w:r>
    </w:p>
    <w:p>
      <w:pPr>
        <w:spacing w:line="570" w:lineRule="exact"/>
        <w:ind w:firstLine="640" w:firstLineChars="200"/>
        <w:rPr>
          <w:rFonts w:ascii="Times New Roman" w:hAnsi="Times New Roman" w:eastAsia="方正楷体_GBK"/>
          <w:bCs/>
          <w:kern w:val="28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第十六条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Cs/>
          <w:kern w:val="28"/>
          <w:sz w:val="32"/>
          <w:szCs w:val="32"/>
          <w:lang w:val="zh-CN"/>
        </w:rPr>
        <w:t>加快挖掘一批未来技术、落地一批未来项目，</w:t>
      </w:r>
      <w:r>
        <w:rPr>
          <w:rFonts w:hint="eastAsia" w:ascii="Times New Roman" w:hAnsi="Times New Roman" w:eastAsia="方正仿宋_GBK"/>
          <w:sz w:val="32"/>
          <w:szCs w:val="32"/>
        </w:rPr>
        <w:t>对在盐城市区举办的未来产业领域全国性峰会、博览会、展览会、行业发展、创新创业等活动，按照国家级活动费用总金额的</w:t>
      </w:r>
      <w:r>
        <w:rPr>
          <w:rFonts w:ascii="Times New Roman" w:hAnsi="Times New Roman" w:eastAsia="方正仿宋_GBK"/>
          <w:sz w:val="32"/>
          <w:szCs w:val="32"/>
        </w:rPr>
        <w:t>50%</w:t>
      </w:r>
      <w:r>
        <w:rPr>
          <w:rFonts w:hint="eastAsia" w:ascii="Times New Roman" w:hAnsi="Times New Roman" w:eastAsia="方正仿宋_GBK"/>
          <w:sz w:val="32"/>
          <w:szCs w:val="32"/>
        </w:rPr>
        <w:t>，由市级财政给予承办单位不超过</w:t>
      </w:r>
      <w:r>
        <w:rPr>
          <w:rFonts w:ascii="Times New Roman" w:hAnsi="Times New Roman" w:eastAsia="方正仿宋_GBK"/>
          <w:sz w:val="32"/>
          <w:szCs w:val="32"/>
        </w:rPr>
        <w:t>200</w:t>
      </w:r>
      <w:r>
        <w:rPr>
          <w:rFonts w:hint="eastAsia" w:ascii="Times New Roman" w:hAnsi="Times New Roman" w:eastAsia="方正仿宋_GBK"/>
          <w:sz w:val="32"/>
          <w:szCs w:val="32"/>
        </w:rPr>
        <w:t>万元的补贴。对通过上述活动落地的项目，市级各类专项资金给予优先支持。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本政策有效期为</w:t>
      </w:r>
      <w:r>
        <w:rPr>
          <w:rFonts w:ascii="Times New Roman" w:hAnsi="Times New Roman" w:eastAsia="方正仿宋_GBK"/>
          <w:sz w:val="32"/>
          <w:szCs w:val="32"/>
        </w:rPr>
        <w:t>2024-2026</w:t>
      </w:r>
      <w:r>
        <w:rPr>
          <w:rFonts w:hint="eastAsia" w:ascii="Times New Roman" w:hAnsi="Times New Roman" w:eastAsia="方正仿宋_GBK"/>
          <w:sz w:val="32"/>
          <w:szCs w:val="32"/>
        </w:rPr>
        <w:t>年，实施期间兼顾绩效导向，视年度绩效评价结果进行适当调整。对符合本政策规定的同一项目、同一事项同时符合其他扶持政策规定的，按照“就高不重复”的原则执行。本政策奖励补助资金原则上按照财政体制由市、县（市）统筹安排、分级承担。各责任单位要在本政策印发之日起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个月内，制定相关实施细则和具体兑现流程，确保政策落地见效。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  <w:rFonts w:ascii="宋体"/>
        <w:sz w:val="28"/>
        <w:szCs w:val="28"/>
      </w:rPr>
    </w:pPr>
    <w:r>
      <w:rPr>
        <w:rStyle w:val="14"/>
        <w:rFonts w:ascii="宋体" w:hAnsi="宋体"/>
        <w:color w:val="FFFFFF"/>
        <w:sz w:val="28"/>
        <w:szCs w:val="28"/>
      </w:rPr>
      <w:t>—</w:t>
    </w:r>
    <w:r>
      <w:rPr>
        <w:rStyle w:val="14"/>
        <w:rFonts w:ascii="宋体" w:hAnsi="宋体"/>
        <w:sz w:val="28"/>
        <w:szCs w:val="28"/>
      </w:rPr>
      <w:t xml:space="preserve">— </w:t>
    </w:r>
    <w:r>
      <w:rPr>
        <w:rStyle w:val="14"/>
        <w:rFonts w:ascii="Times New Roman" w:hAnsi="Times New Roman"/>
        <w:sz w:val="28"/>
        <w:szCs w:val="28"/>
      </w:rPr>
      <w:fldChar w:fldCharType="begin"/>
    </w:r>
    <w:r>
      <w:rPr>
        <w:rStyle w:val="14"/>
        <w:rFonts w:ascii="Times New Roman" w:hAnsi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/>
        <w:sz w:val="28"/>
        <w:szCs w:val="28"/>
      </w:rPr>
      <w:fldChar w:fldCharType="separate"/>
    </w:r>
    <w:r>
      <w:rPr>
        <w:rStyle w:val="14"/>
        <w:rFonts w:ascii="Times New Roman" w:hAnsi="Times New Roman"/>
        <w:sz w:val="28"/>
        <w:szCs w:val="28"/>
      </w:rPr>
      <w:t>5</w:t>
    </w:r>
    <w:r>
      <w:rPr>
        <w:rStyle w:val="14"/>
        <w:rFonts w:ascii="Times New Roman" w:hAnsi="Times New Roman"/>
        <w:sz w:val="28"/>
        <w:szCs w:val="28"/>
      </w:rPr>
      <w:fldChar w:fldCharType="end"/>
    </w:r>
    <w:r>
      <w:rPr>
        <w:rStyle w:val="14"/>
        <w:rFonts w:ascii="宋体" w:hAnsi="宋体"/>
        <w:sz w:val="28"/>
        <w:szCs w:val="28"/>
      </w:rPr>
      <w:t xml:space="preserve"> —</w:t>
    </w:r>
    <w:r>
      <w:rPr>
        <w:rStyle w:val="14"/>
        <w:rFonts w:ascii="宋体" w:hAnsi="宋体"/>
        <w:color w:val="FFFFFF"/>
        <w:sz w:val="28"/>
        <w:szCs w:val="28"/>
      </w:rPr>
      <w:t>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RiN2EzOTIwNTFkMWRjYjlhM2M2MjEwMTAzOTAyMTAifQ=="/>
  </w:docVars>
  <w:rsids>
    <w:rsidRoot w:val="009153AB"/>
    <w:rsid w:val="00012B11"/>
    <w:rsid w:val="000310CE"/>
    <w:rsid w:val="00046B7D"/>
    <w:rsid w:val="00060149"/>
    <w:rsid w:val="00094A5E"/>
    <w:rsid w:val="000A3249"/>
    <w:rsid w:val="000A5E4F"/>
    <w:rsid w:val="000C01C6"/>
    <w:rsid w:val="00102530"/>
    <w:rsid w:val="00112FBB"/>
    <w:rsid w:val="0011329C"/>
    <w:rsid w:val="00125103"/>
    <w:rsid w:val="00137694"/>
    <w:rsid w:val="00176C89"/>
    <w:rsid w:val="00185642"/>
    <w:rsid w:val="001A0BC5"/>
    <w:rsid w:val="001A19EE"/>
    <w:rsid w:val="001C7F3D"/>
    <w:rsid w:val="001F207A"/>
    <w:rsid w:val="0020465F"/>
    <w:rsid w:val="00232CD7"/>
    <w:rsid w:val="00260CDD"/>
    <w:rsid w:val="00264A6F"/>
    <w:rsid w:val="002753BF"/>
    <w:rsid w:val="002915C9"/>
    <w:rsid w:val="002A3154"/>
    <w:rsid w:val="002B1793"/>
    <w:rsid w:val="002B3350"/>
    <w:rsid w:val="002F2DAE"/>
    <w:rsid w:val="00325B47"/>
    <w:rsid w:val="00373171"/>
    <w:rsid w:val="0037406A"/>
    <w:rsid w:val="00375F65"/>
    <w:rsid w:val="003B4F78"/>
    <w:rsid w:val="003C5669"/>
    <w:rsid w:val="003E3DCD"/>
    <w:rsid w:val="003F668D"/>
    <w:rsid w:val="003F6F20"/>
    <w:rsid w:val="00400F62"/>
    <w:rsid w:val="00427DBD"/>
    <w:rsid w:val="004325D5"/>
    <w:rsid w:val="00434F32"/>
    <w:rsid w:val="004548FA"/>
    <w:rsid w:val="00460F0E"/>
    <w:rsid w:val="00465894"/>
    <w:rsid w:val="00466EF3"/>
    <w:rsid w:val="004B124B"/>
    <w:rsid w:val="005007C5"/>
    <w:rsid w:val="005115CC"/>
    <w:rsid w:val="00533F7E"/>
    <w:rsid w:val="00553378"/>
    <w:rsid w:val="0055450E"/>
    <w:rsid w:val="00566A8A"/>
    <w:rsid w:val="005D3CD2"/>
    <w:rsid w:val="00613351"/>
    <w:rsid w:val="00627FBF"/>
    <w:rsid w:val="006628D7"/>
    <w:rsid w:val="006671C6"/>
    <w:rsid w:val="00670E3E"/>
    <w:rsid w:val="00675823"/>
    <w:rsid w:val="00682347"/>
    <w:rsid w:val="0068535D"/>
    <w:rsid w:val="006C7140"/>
    <w:rsid w:val="006D1967"/>
    <w:rsid w:val="006E173F"/>
    <w:rsid w:val="006F7805"/>
    <w:rsid w:val="0071512E"/>
    <w:rsid w:val="00732E19"/>
    <w:rsid w:val="00736BB4"/>
    <w:rsid w:val="00760A25"/>
    <w:rsid w:val="00767F7A"/>
    <w:rsid w:val="00794B55"/>
    <w:rsid w:val="007C1AB0"/>
    <w:rsid w:val="00825ED9"/>
    <w:rsid w:val="0083190F"/>
    <w:rsid w:val="0083576E"/>
    <w:rsid w:val="00850FF2"/>
    <w:rsid w:val="00877C65"/>
    <w:rsid w:val="00881478"/>
    <w:rsid w:val="008A52C1"/>
    <w:rsid w:val="008D18F6"/>
    <w:rsid w:val="008E468B"/>
    <w:rsid w:val="008E66A5"/>
    <w:rsid w:val="00913DA5"/>
    <w:rsid w:val="009153AB"/>
    <w:rsid w:val="009634EA"/>
    <w:rsid w:val="00995582"/>
    <w:rsid w:val="009A36E2"/>
    <w:rsid w:val="009C0EBC"/>
    <w:rsid w:val="00A15AB7"/>
    <w:rsid w:val="00A1686F"/>
    <w:rsid w:val="00A26DE3"/>
    <w:rsid w:val="00A34215"/>
    <w:rsid w:val="00A578BA"/>
    <w:rsid w:val="00A81841"/>
    <w:rsid w:val="00A841AC"/>
    <w:rsid w:val="00AA1A67"/>
    <w:rsid w:val="00AA5A10"/>
    <w:rsid w:val="00AC785B"/>
    <w:rsid w:val="00AF4F0E"/>
    <w:rsid w:val="00AF7ADB"/>
    <w:rsid w:val="00B007F8"/>
    <w:rsid w:val="00B3122B"/>
    <w:rsid w:val="00B82D6E"/>
    <w:rsid w:val="00BD29D3"/>
    <w:rsid w:val="00BE42A9"/>
    <w:rsid w:val="00BF1004"/>
    <w:rsid w:val="00BF5E45"/>
    <w:rsid w:val="00C023D3"/>
    <w:rsid w:val="00C13A80"/>
    <w:rsid w:val="00C15B47"/>
    <w:rsid w:val="00C4362C"/>
    <w:rsid w:val="00C56D50"/>
    <w:rsid w:val="00C61559"/>
    <w:rsid w:val="00C80D3F"/>
    <w:rsid w:val="00CA20B5"/>
    <w:rsid w:val="00CB45C8"/>
    <w:rsid w:val="00CB4D5A"/>
    <w:rsid w:val="00CC335B"/>
    <w:rsid w:val="00CC796D"/>
    <w:rsid w:val="00CE6EDD"/>
    <w:rsid w:val="00CF1030"/>
    <w:rsid w:val="00D2397B"/>
    <w:rsid w:val="00D324D4"/>
    <w:rsid w:val="00D37991"/>
    <w:rsid w:val="00D43D0A"/>
    <w:rsid w:val="00D5752D"/>
    <w:rsid w:val="00D62501"/>
    <w:rsid w:val="00D73006"/>
    <w:rsid w:val="00D83647"/>
    <w:rsid w:val="00D8603C"/>
    <w:rsid w:val="00D9006F"/>
    <w:rsid w:val="00DA6FD5"/>
    <w:rsid w:val="00DB7C37"/>
    <w:rsid w:val="00DD0AF4"/>
    <w:rsid w:val="00DE2C4E"/>
    <w:rsid w:val="00DF004A"/>
    <w:rsid w:val="00DF5787"/>
    <w:rsid w:val="00E01797"/>
    <w:rsid w:val="00E028A8"/>
    <w:rsid w:val="00E05B05"/>
    <w:rsid w:val="00E226A5"/>
    <w:rsid w:val="00E33F46"/>
    <w:rsid w:val="00E711DF"/>
    <w:rsid w:val="00EA0714"/>
    <w:rsid w:val="00EA0D0D"/>
    <w:rsid w:val="00EB0E5A"/>
    <w:rsid w:val="00EB6B66"/>
    <w:rsid w:val="00ED5011"/>
    <w:rsid w:val="00EE149B"/>
    <w:rsid w:val="00EF7921"/>
    <w:rsid w:val="00EF7D61"/>
    <w:rsid w:val="00F17CE4"/>
    <w:rsid w:val="00F22E12"/>
    <w:rsid w:val="00F6321E"/>
    <w:rsid w:val="00F635A0"/>
    <w:rsid w:val="00F729EB"/>
    <w:rsid w:val="00FA5B46"/>
    <w:rsid w:val="00FB3097"/>
    <w:rsid w:val="00FC03CD"/>
    <w:rsid w:val="7D3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26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/>
      <w:b/>
      <w:kern w:val="0"/>
      <w:sz w:val="27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35"/>
    <w:autoRedefine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0"/>
    <w:autoRedefine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Subtitle"/>
    <w:basedOn w:val="1"/>
    <w:next w:val="8"/>
    <w:link w:val="34"/>
    <w:autoRedefine/>
    <w:qFormat/>
    <w:locked/>
    <w:uiPriority w:val="99"/>
    <w:pPr>
      <w:spacing w:before="240" w:after="60" w:line="312" w:lineRule="auto"/>
      <w:ind w:firstLine="200" w:firstLineChars="200"/>
      <w:outlineLvl w:val="1"/>
    </w:pPr>
    <w:rPr>
      <w:rFonts w:ascii="等线 Light" w:hAnsi="等线 Light" w:eastAsia="方正黑体_GBK"/>
      <w:bCs/>
      <w:kern w:val="28"/>
      <w:sz w:val="32"/>
      <w:szCs w:val="32"/>
      <w:lang w:val="zh-CN"/>
    </w:rPr>
  </w:style>
  <w:style w:type="paragraph" w:styleId="8">
    <w:name w:val="Body Text First Indent 2"/>
    <w:basedOn w:val="3"/>
    <w:link w:val="36"/>
    <w:autoRedefine/>
    <w:qFormat/>
    <w:uiPriority w:val="99"/>
    <w:pPr>
      <w:ind w:firstLine="420" w:firstLineChars="200"/>
    </w:pPr>
  </w:style>
  <w:style w:type="paragraph" w:styleId="9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link w:val="25"/>
    <w:autoRedefine/>
    <w:qFormat/>
    <w:locked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2">
    <w:name w:val="Table Grid"/>
    <w:basedOn w:val="11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Emphasis"/>
    <w:autoRedefine/>
    <w:qFormat/>
    <w:locked/>
    <w:uiPriority w:val="99"/>
    <w:rPr>
      <w:rFonts w:cs="Times New Roman"/>
      <w:i/>
    </w:rPr>
  </w:style>
  <w:style w:type="character" w:styleId="16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7">
    <w:name w:val="Heading 3 Char"/>
    <w:autoRedefine/>
    <w:semiHidden/>
    <w:qFormat/>
    <w:locked/>
    <w:uiPriority w:val="99"/>
    <w:rPr>
      <w:rFonts w:cs="Times New Roman"/>
      <w:b/>
      <w:sz w:val="32"/>
    </w:rPr>
  </w:style>
  <w:style w:type="character" w:customStyle="1" w:styleId="18">
    <w:name w:val="页眉 Char"/>
    <w:link w:val="6"/>
    <w:autoRedefine/>
    <w:qFormat/>
    <w:locked/>
    <w:uiPriority w:val="99"/>
    <w:rPr>
      <w:rFonts w:cs="Times New Roman"/>
      <w:sz w:val="18"/>
    </w:rPr>
  </w:style>
  <w:style w:type="character" w:customStyle="1" w:styleId="19">
    <w:name w:val="页脚 Char"/>
    <w:link w:val="5"/>
    <w:autoRedefine/>
    <w:qFormat/>
    <w:locked/>
    <w:uiPriority w:val="99"/>
    <w:rPr>
      <w:rFonts w:cs="Times New Roman"/>
      <w:sz w:val="18"/>
    </w:rPr>
  </w:style>
  <w:style w:type="character" w:customStyle="1" w:styleId="20">
    <w:name w:val="批注框文本 Char"/>
    <w:link w:val="4"/>
    <w:autoRedefine/>
    <w:semiHidden/>
    <w:qFormat/>
    <w:locked/>
    <w:uiPriority w:val="99"/>
    <w:rPr>
      <w:rFonts w:cs="Times New Roman"/>
      <w:sz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21"/>
    <w:autoRedefine/>
    <w:qFormat/>
    <w:uiPriority w:val="99"/>
    <w:rPr>
      <w:rFonts w:ascii="方正小标宋_GBK" w:eastAsia="方正小标宋_GBK"/>
      <w:color w:val="000000"/>
      <w:sz w:val="44"/>
      <w:u w:val="none"/>
    </w:rPr>
  </w:style>
  <w:style w:type="character" w:customStyle="1" w:styleId="23">
    <w:name w:val="font61"/>
    <w:autoRedefine/>
    <w:qFormat/>
    <w:uiPriority w:val="99"/>
    <w:rPr>
      <w:rFonts w:ascii="方正黑体_GBK" w:eastAsia="方正黑体_GBK"/>
      <w:color w:val="000000"/>
      <w:sz w:val="22"/>
      <w:u w:val="none"/>
    </w:rPr>
  </w:style>
  <w:style w:type="paragraph" w:customStyle="1" w:styleId="24">
    <w:name w:val="标题1"/>
    <w:basedOn w:val="10"/>
    <w:autoRedefine/>
    <w:qFormat/>
    <w:uiPriority w:val="99"/>
    <w:pPr>
      <w:adjustRightInd w:val="0"/>
      <w:snapToGrid w:val="0"/>
      <w:spacing w:before="0" w:after="0" w:line="640" w:lineRule="atLeast"/>
      <w:outlineLvl w:val="9"/>
    </w:pPr>
    <w:rPr>
      <w:rFonts w:ascii="Times New Roman" w:hAnsi="Times New Roman" w:eastAsia="方正小标宋_GBK"/>
      <w:b w:val="0"/>
      <w:sz w:val="44"/>
    </w:rPr>
  </w:style>
  <w:style w:type="character" w:customStyle="1" w:styleId="25">
    <w:name w:val="标题 Char"/>
    <w:link w:val="10"/>
    <w:autoRedefine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6">
    <w:name w:val="标题 3 Char"/>
    <w:link w:val="2"/>
    <w:autoRedefine/>
    <w:qFormat/>
    <w:locked/>
    <w:uiPriority w:val="99"/>
    <w:rPr>
      <w:rFonts w:ascii="宋体" w:hAnsi="Calibri" w:eastAsia="宋体"/>
      <w:b/>
      <w:sz w:val="27"/>
      <w:lang w:val="en-US" w:eastAsia="zh-CN"/>
    </w:rPr>
  </w:style>
  <w:style w:type="character" w:customStyle="1" w:styleId="27">
    <w:name w:val="Char Char2"/>
    <w:autoRedefine/>
    <w:semiHidden/>
    <w:qFormat/>
    <w:locked/>
    <w:uiPriority w:val="99"/>
    <w:rPr>
      <w:sz w:val="18"/>
    </w:rPr>
  </w:style>
  <w:style w:type="character" w:customStyle="1" w:styleId="28">
    <w:name w:val="Char Char1"/>
    <w:autoRedefine/>
    <w:qFormat/>
    <w:locked/>
    <w:uiPriority w:val="99"/>
    <w:rPr>
      <w:sz w:val="18"/>
    </w:rPr>
  </w:style>
  <w:style w:type="character" w:customStyle="1" w:styleId="29">
    <w:name w:val="Char Char"/>
    <w:autoRedefine/>
    <w:qFormat/>
    <w:locked/>
    <w:uiPriority w:val="99"/>
    <w:rPr>
      <w:sz w:val="18"/>
    </w:rPr>
  </w:style>
  <w:style w:type="character" w:customStyle="1" w:styleId="30">
    <w:name w:val="Char Char21"/>
    <w:autoRedefine/>
    <w:semiHidden/>
    <w:qFormat/>
    <w:locked/>
    <w:uiPriority w:val="99"/>
    <w:rPr>
      <w:rFonts w:ascii="Calibri" w:hAnsi="Calibri" w:eastAsia="宋体"/>
      <w:sz w:val="18"/>
      <w:lang w:val="en-US" w:eastAsia="zh-CN"/>
    </w:rPr>
  </w:style>
  <w:style w:type="character" w:customStyle="1" w:styleId="31">
    <w:name w:val="Char Char11"/>
    <w:autoRedefine/>
    <w:qFormat/>
    <w:locked/>
    <w:uiPriority w:val="99"/>
    <w:rPr>
      <w:rFonts w:ascii="Calibri" w:hAnsi="Calibri" w:eastAsia="宋体"/>
      <w:sz w:val="18"/>
      <w:lang w:val="en-US" w:eastAsia="zh-CN"/>
    </w:rPr>
  </w:style>
  <w:style w:type="character" w:customStyle="1" w:styleId="32">
    <w:name w:val="Char Char4"/>
    <w:autoRedefine/>
    <w:qFormat/>
    <w:locked/>
    <w:uiPriority w:val="99"/>
    <w:rPr>
      <w:rFonts w:ascii="Calibri" w:hAnsi="Calibri" w:eastAsia="宋体"/>
      <w:sz w:val="18"/>
      <w:lang w:val="en-US" w:eastAsia="zh-CN"/>
    </w:rPr>
  </w:style>
  <w:style w:type="character" w:customStyle="1" w:styleId="33">
    <w:name w:val="font11"/>
    <w:autoRedefine/>
    <w:qFormat/>
    <w:uiPriority w:val="99"/>
    <w:rPr>
      <w:rFonts w:ascii="宋体" w:hAnsi="宋体" w:eastAsia="宋体"/>
      <w:color w:val="000000"/>
      <w:sz w:val="21"/>
      <w:u w:val="none"/>
    </w:rPr>
  </w:style>
  <w:style w:type="character" w:customStyle="1" w:styleId="34">
    <w:name w:val="副标题 Char"/>
    <w:link w:val="7"/>
    <w:autoRedefine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5">
    <w:name w:val="正文文本缩进 Char"/>
    <w:link w:val="3"/>
    <w:autoRedefine/>
    <w:semiHidden/>
    <w:qFormat/>
    <w:locked/>
    <w:uiPriority w:val="99"/>
    <w:rPr>
      <w:rFonts w:cs="Times New Roman"/>
    </w:rPr>
  </w:style>
  <w:style w:type="character" w:customStyle="1" w:styleId="36">
    <w:name w:val="正文首行缩进 2 Char"/>
    <w:link w:val="8"/>
    <w:autoRedefine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520</Words>
  <Characters>2970</Characters>
  <Lines>24</Lines>
  <Paragraphs>6</Paragraphs>
  <TotalTime>2</TotalTime>
  <ScaleCrop>false</ScaleCrop>
  <LinksUpToDate>false</LinksUpToDate>
  <CharactersWithSpaces>3484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2024-03-24T15:15:00Z</dcterms:created>
  <dc:creator>Windows 用户</dc:creator>
  <cp:lastModifiedBy>＿何如当初莫相识</cp:lastModifiedBy>
  <cp:lastPrinted>2024-03-24T15:03:00Z</cp:lastPrinted>
  <dcterms:modified xsi:type="dcterms:W3CDTF">2024-03-26T02:13:03Z</dcterms:modified>
  <dc:title>盐城市发展和改革委员会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6190E48245B9445CB6163E81B8861AF5_12</vt:lpwstr>
  </property>
</Properties>
</file>