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51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52"/>
          <w:highlight w:val="none"/>
        </w:rPr>
      </w:pPr>
    </w:p>
    <w:p w14:paraId="5553AC1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auto"/>
          <w:sz w:val="44"/>
          <w:szCs w:val="52"/>
          <w:highlight w:val="none"/>
          <w:lang w:eastAsia="zh-CN"/>
        </w:rPr>
      </w:pPr>
      <w:r>
        <w:rPr>
          <w:rFonts w:hint="default" w:ascii="Times New Roman" w:hAnsi="Times New Roman" w:eastAsia="方正小标宋_GBK" w:cs="Times New Roman"/>
          <w:color w:val="auto"/>
          <w:sz w:val="44"/>
          <w:szCs w:val="52"/>
          <w:highlight w:val="none"/>
        </w:rPr>
        <w:t>关于</w:t>
      </w:r>
      <w:r>
        <w:rPr>
          <w:rFonts w:hint="eastAsia" w:ascii="Times New Roman" w:hAnsi="Times New Roman" w:eastAsia="方正小标宋_GBK" w:cs="Times New Roman"/>
          <w:color w:val="auto"/>
          <w:sz w:val="44"/>
          <w:szCs w:val="52"/>
          <w:highlight w:val="none"/>
          <w:lang w:eastAsia="zh-CN"/>
        </w:rPr>
        <w:t>贯彻落实省巩固增强经济回升向好态势</w:t>
      </w:r>
    </w:p>
    <w:p w14:paraId="5FF7C8E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auto"/>
          <w:sz w:val="44"/>
          <w:szCs w:val="52"/>
          <w:highlight w:val="none"/>
          <w:lang w:eastAsia="zh-CN"/>
        </w:rPr>
      </w:pPr>
      <w:r>
        <w:rPr>
          <w:rFonts w:hint="eastAsia" w:ascii="Times New Roman" w:hAnsi="Times New Roman" w:eastAsia="方正小标宋_GBK" w:cs="Times New Roman"/>
          <w:color w:val="auto"/>
          <w:sz w:val="44"/>
          <w:szCs w:val="52"/>
          <w:highlight w:val="none"/>
          <w:lang w:eastAsia="zh-CN"/>
        </w:rPr>
        <w:t>进一步推动高质量发展若干政策措施的</w:t>
      </w:r>
    </w:p>
    <w:p w14:paraId="5586CD3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auto"/>
          <w:sz w:val="44"/>
          <w:szCs w:val="52"/>
          <w:highlight w:val="none"/>
          <w:lang w:eastAsia="zh-CN"/>
        </w:rPr>
      </w:pPr>
      <w:r>
        <w:rPr>
          <w:rFonts w:hint="eastAsia" w:ascii="Times New Roman" w:hAnsi="Times New Roman" w:eastAsia="方正小标宋_GBK" w:cs="Times New Roman"/>
          <w:color w:val="auto"/>
          <w:sz w:val="44"/>
          <w:szCs w:val="52"/>
          <w:highlight w:val="none"/>
          <w:lang w:eastAsia="zh-CN"/>
        </w:rPr>
        <w:t>实施意见</w:t>
      </w:r>
    </w:p>
    <w:p w14:paraId="23B129F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（征求意见稿）</w:t>
      </w:r>
    </w:p>
    <w:p w14:paraId="219ED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52"/>
          <w:highlight w:val="none"/>
        </w:rPr>
      </w:pPr>
    </w:p>
    <w:p w14:paraId="2A5D47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sz w:val="32"/>
          <w:szCs w:val="32"/>
          <w:highlight w:val="none"/>
        </w:rPr>
      </w:pPr>
      <w:r>
        <w:rPr>
          <w:rFonts w:hint="default" w:ascii="Times New Roman" w:hAnsi="Times New Roman" w:eastAsia="方正仿宋_GBK" w:cs="Times New Roman"/>
          <w:color w:val="auto"/>
          <w:sz w:val="32"/>
          <w:szCs w:val="40"/>
          <w:highlight w:val="none"/>
          <w:lang w:val="en-US" w:eastAsia="zh-CN"/>
        </w:rPr>
        <w:t>为深入学习贯彻</w:t>
      </w:r>
      <w:r>
        <w:rPr>
          <w:rFonts w:hint="eastAsia" w:ascii="Times New Roman" w:hAnsi="Times New Roman" w:eastAsia="方正仿宋_GBK" w:cs="Times New Roman"/>
          <w:color w:val="auto"/>
          <w:sz w:val="32"/>
          <w:szCs w:val="40"/>
          <w:highlight w:val="none"/>
          <w:lang w:val="en-US" w:eastAsia="zh-CN"/>
        </w:rPr>
        <w:t>习近平总书记近期在中央政治局会议上关</w:t>
      </w:r>
      <w:r>
        <w:rPr>
          <w:rFonts w:hint="default" w:ascii="Times New Roman" w:hAnsi="Times New Roman" w:eastAsia="方正仿宋_GBK" w:cs="Times New Roman"/>
          <w:color w:val="auto"/>
          <w:sz w:val="32"/>
          <w:szCs w:val="40"/>
          <w:highlight w:val="none"/>
          <w:lang w:val="en-US" w:eastAsia="zh-CN"/>
        </w:rPr>
        <w:t>于要坚定不移完成全年经济社会发展目标任务的重要指示精神，认真落实省委办公厅、省政府办公厅《关于巩固增强经济回升向好态势进一步推动高质量发展的若干政策措施》（苏办发〔2024〕18号），</w:t>
      </w:r>
      <w:r>
        <w:rPr>
          <w:rFonts w:hint="eastAsia" w:ascii="Times New Roman" w:hAnsi="Times New Roman" w:eastAsia="方正仿宋_GBK"/>
          <w:sz w:val="32"/>
          <w:szCs w:val="32"/>
          <w:highlight w:val="none"/>
          <w:lang w:eastAsia="zh-CN"/>
        </w:rPr>
        <w:t>持续</w:t>
      </w:r>
      <w:r>
        <w:rPr>
          <w:rFonts w:hint="eastAsia" w:ascii="Times New Roman" w:hAnsi="Times New Roman" w:eastAsia="方正仿宋_GBK"/>
          <w:sz w:val="32"/>
          <w:szCs w:val="32"/>
          <w:highlight w:val="none"/>
        </w:rPr>
        <w:t>改善市场预期、提振发展信心、增强内生动力，全力促进经济持续回升向好，现结合</w:t>
      </w:r>
      <w:r>
        <w:rPr>
          <w:rFonts w:hint="eastAsia" w:ascii="Times New Roman" w:hAnsi="Times New Roman" w:eastAsia="方正仿宋_GBK"/>
          <w:sz w:val="32"/>
          <w:szCs w:val="32"/>
          <w:highlight w:val="none"/>
          <w:lang w:eastAsia="zh-CN"/>
        </w:rPr>
        <w:t>我市</w:t>
      </w:r>
      <w:r>
        <w:rPr>
          <w:rFonts w:hint="eastAsia" w:ascii="Times New Roman" w:hAnsi="Times New Roman" w:eastAsia="方正仿宋_GBK"/>
          <w:sz w:val="32"/>
          <w:szCs w:val="32"/>
          <w:highlight w:val="none"/>
        </w:rPr>
        <w:t>实际提出如下</w:t>
      </w:r>
      <w:r>
        <w:rPr>
          <w:rFonts w:hint="eastAsia" w:ascii="Times New Roman" w:hAnsi="Times New Roman" w:eastAsia="方正仿宋_GBK"/>
          <w:sz w:val="32"/>
          <w:szCs w:val="32"/>
          <w:highlight w:val="none"/>
          <w:lang w:eastAsia="zh-CN"/>
        </w:rPr>
        <w:t>贯彻落实</w:t>
      </w:r>
      <w:r>
        <w:rPr>
          <w:rFonts w:hint="eastAsia" w:ascii="Times New Roman" w:hAnsi="Times New Roman" w:eastAsia="方正仿宋_GBK"/>
          <w:sz w:val="32"/>
          <w:szCs w:val="32"/>
          <w:highlight w:val="none"/>
        </w:rPr>
        <w:t>意见。</w:t>
      </w:r>
    </w:p>
    <w:p w14:paraId="09E291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一、激发有潜能的消费</w:t>
      </w:r>
    </w:p>
    <w:p w14:paraId="1FFD1E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1. 加力推动消费品以旧换新。</w:t>
      </w:r>
      <w:r>
        <w:rPr>
          <w:rFonts w:hint="default" w:ascii="Times New Roman" w:hAnsi="Times New Roman" w:eastAsia="方正仿宋_GBK" w:cs="Times New Roman"/>
          <w:color w:val="auto"/>
          <w:sz w:val="32"/>
          <w:szCs w:val="40"/>
          <w:highlight w:val="none"/>
          <w:lang w:val="en-US" w:eastAsia="zh-CN"/>
        </w:rPr>
        <w:t>加大汽车</w:t>
      </w:r>
      <w:r>
        <w:rPr>
          <w:rFonts w:hint="eastAsia" w:ascii="Times New Roman" w:hAnsi="Times New Roman" w:eastAsia="方正仿宋_GBK" w:cs="Times New Roman"/>
          <w:color w:val="auto"/>
          <w:sz w:val="32"/>
          <w:szCs w:val="40"/>
          <w:highlight w:val="none"/>
          <w:lang w:val="en-US" w:eastAsia="zh-CN"/>
        </w:rPr>
        <w:t>、绿色家电</w:t>
      </w:r>
      <w:r>
        <w:rPr>
          <w:rFonts w:hint="default" w:ascii="Times New Roman" w:hAnsi="Times New Roman" w:eastAsia="方正仿宋_GBK" w:cs="Times New Roman"/>
          <w:color w:val="auto"/>
          <w:sz w:val="32"/>
          <w:szCs w:val="40"/>
          <w:highlight w:val="none"/>
          <w:lang w:val="en-US" w:eastAsia="zh-CN"/>
        </w:rPr>
        <w:t>以旧换新</w:t>
      </w:r>
      <w:r>
        <w:rPr>
          <w:rFonts w:hint="eastAsia" w:ascii="Times New Roman" w:hAnsi="Times New Roman" w:eastAsia="方正仿宋_GBK" w:cs="Times New Roman"/>
          <w:color w:val="auto"/>
          <w:sz w:val="32"/>
          <w:szCs w:val="40"/>
          <w:highlight w:val="none"/>
          <w:lang w:val="en-US" w:eastAsia="zh-CN"/>
        </w:rPr>
        <w:t>力度，积极争取超长期特别国债支持消费品以旧换新，扩大政策知晓面，加快</w:t>
      </w:r>
      <w:r>
        <w:rPr>
          <w:rFonts w:hint="default" w:ascii="Times New Roman" w:hAnsi="Times New Roman" w:eastAsia="方正仿宋_GBK" w:cs="Times New Roman"/>
          <w:color w:val="auto"/>
          <w:sz w:val="32"/>
          <w:szCs w:val="40"/>
          <w:highlight w:val="none"/>
          <w:lang w:val="en-US" w:eastAsia="zh-CN"/>
        </w:rPr>
        <w:t>政策红利</w:t>
      </w:r>
      <w:r>
        <w:rPr>
          <w:rFonts w:hint="eastAsia" w:ascii="Times New Roman" w:hAnsi="Times New Roman" w:eastAsia="方正仿宋_GBK" w:cs="Times New Roman"/>
          <w:color w:val="auto"/>
          <w:sz w:val="32"/>
          <w:szCs w:val="40"/>
          <w:highlight w:val="none"/>
          <w:lang w:val="en-US" w:eastAsia="zh-CN"/>
        </w:rPr>
        <w:t>兑现，促进消费升级换代</w:t>
      </w:r>
      <w:r>
        <w:rPr>
          <w:rFonts w:hint="default" w:ascii="Times New Roman" w:hAnsi="Times New Roman" w:eastAsia="方正仿宋_GBK" w:cs="Times New Roman"/>
          <w:color w:val="auto"/>
          <w:sz w:val="32"/>
          <w:szCs w:val="40"/>
          <w:highlight w:val="none"/>
          <w:lang w:val="en-US" w:eastAsia="zh-CN"/>
        </w:rPr>
        <w:t>。</w:t>
      </w:r>
      <w:r>
        <w:rPr>
          <w:rFonts w:hint="eastAsia" w:ascii="Times New Roman" w:hAnsi="Times New Roman" w:eastAsia="方正仿宋_GBK" w:cs="Times New Roman"/>
          <w:color w:val="auto"/>
          <w:sz w:val="32"/>
          <w:szCs w:val="40"/>
          <w:highlight w:val="none"/>
          <w:lang w:val="en-US" w:eastAsia="zh-CN"/>
        </w:rPr>
        <w:t>鼓励企业</w:t>
      </w:r>
      <w:r>
        <w:rPr>
          <w:rFonts w:hint="default" w:ascii="Times New Roman" w:hAnsi="Times New Roman" w:eastAsia="方正仿宋_GBK" w:cs="Times New Roman"/>
          <w:color w:val="auto"/>
          <w:sz w:val="32"/>
          <w:szCs w:val="40"/>
          <w:highlight w:val="none"/>
          <w:lang w:val="en-US" w:eastAsia="zh-CN"/>
        </w:rPr>
        <w:t>在政府补贴基础上，额外增加企业换新补贴，联动工厂、银行等资源再投入，形成政策合力</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落实盐城市报废机动车回收拆解行业发展指导意见，确保全市报废机动车回收量</w:t>
      </w:r>
      <w:r>
        <w:rPr>
          <w:rFonts w:hint="eastAsia" w:ascii="Times New Roman" w:hAnsi="Times New Roman" w:eastAsia="方正仿宋_GBK" w:cs="Times New Roman"/>
          <w:color w:val="auto"/>
          <w:sz w:val="32"/>
          <w:szCs w:val="40"/>
          <w:highlight w:val="none"/>
          <w:lang w:val="en-US" w:eastAsia="zh-CN"/>
        </w:rPr>
        <w:t>高于</w:t>
      </w:r>
      <w:r>
        <w:rPr>
          <w:rFonts w:hint="default" w:ascii="Times New Roman" w:hAnsi="Times New Roman" w:eastAsia="方正仿宋_GBK" w:cs="Times New Roman"/>
          <w:color w:val="auto"/>
          <w:sz w:val="32"/>
          <w:szCs w:val="40"/>
          <w:highlight w:val="none"/>
          <w:lang w:val="en-US" w:eastAsia="zh-CN"/>
        </w:rPr>
        <w:t>全省平均</w:t>
      </w:r>
      <w:r>
        <w:rPr>
          <w:rFonts w:hint="eastAsia" w:ascii="Times New Roman" w:hAnsi="Times New Roman" w:eastAsia="方正仿宋_GBK" w:cs="Times New Roman"/>
          <w:color w:val="auto"/>
          <w:sz w:val="32"/>
          <w:szCs w:val="40"/>
          <w:highlight w:val="none"/>
          <w:lang w:val="en-US" w:eastAsia="zh-CN"/>
        </w:rPr>
        <w:t>。开展绿色节能家电促消费以旧换新专项活动，</w:t>
      </w:r>
      <w:r>
        <w:rPr>
          <w:rFonts w:hint="default" w:ascii="Times New Roman" w:hAnsi="Times New Roman" w:eastAsia="方正仿宋_GBK" w:cs="Times New Roman"/>
          <w:color w:val="auto"/>
          <w:sz w:val="32"/>
          <w:szCs w:val="40"/>
          <w:highlight w:val="none"/>
          <w:lang w:val="en-US" w:eastAsia="zh-CN"/>
        </w:rPr>
        <w:t>组织家电品牌零售商、智能家居解决方案提供商开展进社区、进学校、进企业、进机关</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四进</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活动，到2025年底，</w:t>
      </w:r>
      <w:r>
        <w:rPr>
          <w:rFonts w:hint="eastAsia" w:ascii="Times New Roman" w:hAnsi="Times New Roman" w:eastAsia="方正仿宋_GBK" w:cs="Times New Roman"/>
          <w:color w:val="auto"/>
          <w:sz w:val="32"/>
          <w:szCs w:val="40"/>
          <w:highlight w:val="none"/>
          <w:lang w:val="en-US" w:eastAsia="zh-CN"/>
        </w:rPr>
        <w:t>全市</w:t>
      </w:r>
      <w:r>
        <w:rPr>
          <w:rFonts w:hint="default" w:ascii="Times New Roman" w:hAnsi="Times New Roman" w:eastAsia="方正仿宋_GBK" w:cs="Times New Roman"/>
          <w:color w:val="auto"/>
          <w:sz w:val="32"/>
          <w:szCs w:val="40"/>
          <w:highlight w:val="none"/>
          <w:lang w:val="en-US" w:eastAsia="zh-CN"/>
        </w:rPr>
        <w:t>更新家电50万台。</w:t>
      </w:r>
      <w:r>
        <w:rPr>
          <w:rFonts w:hint="default" w:ascii="Times New Roman" w:hAnsi="Times New Roman" w:eastAsia="方正楷体_GBK" w:cs="Times New Roman"/>
          <w:color w:val="auto"/>
          <w:sz w:val="32"/>
          <w:szCs w:val="40"/>
          <w:highlight w:val="none"/>
          <w:lang w:val="en-US" w:eastAsia="zh-CN"/>
        </w:rPr>
        <w:t>（责任单位：市商务局、市发改委、市财政局、市市场监管局等有关部门，各县（市、区）、盐城经济技术开发区、盐南高新区。以下政策措施均须各地落实，不再单独列出）</w:t>
      </w:r>
    </w:p>
    <w:p w14:paraId="7E2610A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2. 发展壮大服务消费。</w:t>
      </w:r>
      <w:r>
        <w:rPr>
          <w:rFonts w:hint="default" w:ascii="Times New Roman" w:hAnsi="Times New Roman" w:eastAsia="方正仿宋_GBK" w:cs="Times New Roman"/>
          <w:snapToGrid/>
          <w:color w:val="auto"/>
          <w:kern w:val="2"/>
          <w:sz w:val="32"/>
          <w:szCs w:val="40"/>
          <w:highlight w:val="none"/>
          <w:lang w:val="en-US" w:eastAsia="zh-CN" w:bidi="ar-SA"/>
        </w:rPr>
        <w:t>持续开展“515盐城消费季”和四季主题消费活动，研究出台促消费一揽子政策措施</w:t>
      </w:r>
      <w:r>
        <w:rPr>
          <w:rFonts w:hint="eastAsia"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着力发展</w:t>
      </w:r>
      <w:r>
        <w:rPr>
          <w:rFonts w:hint="eastAsia" w:ascii="Times New Roman" w:hAnsi="Times New Roman" w:eastAsia="方正仿宋_GBK" w:cs="Times New Roman"/>
          <w:snapToGrid/>
          <w:color w:val="auto"/>
          <w:kern w:val="2"/>
          <w:sz w:val="32"/>
          <w:szCs w:val="40"/>
          <w:highlight w:val="none"/>
          <w:lang w:val="en-US" w:eastAsia="zh-CN" w:bidi="ar-SA"/>
        </w:rPr>
        <w:t>“首发经济”“</w:t>
      </w:r>
      <w:r>
        <w:rPr>
          <w:rFonts w:hint="default" w:ascii="Times New Roman" w:hAnsi="Times New Roman" w:eastAsia="方正仿宋_GBK" w:cs="Times New Roman"/>
          <w:snapToGrid/>
          <w:color w:val="auto"/>
          <w:kern w:val="2"/>
          <w:sz w:val="32"/>
          <w:szCs w:val="40"/>
          <w:highlight w:val="none"/>
          <w:lang w:val="en-US" w:eastAsia="zh-CN" w:bidi="ar-SA"/>
        </w:rPr>
        <w:t>夜间经济</w:t>
      </w:r>
      <w:r>
        <w:rPr>
          <w:rFonts w:hint="eastAsia"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假日经济</w:t>
      </w:r>
      <w:r>
        <w:rPr>
          <w:rFonts w:hint="eastAsia"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，打造个性化消费新场景</w:t>
      </w:r>
      <w:r>
        <w:rPr>
          <w:rFonts w:hint="eastAsia" w:ascii="Times New Roman" w:hAnsi="Times New Roman" w:eastAsia="方正仿宋_GBK" w:cs="Times New Roman"/>
          <w:snapToGrid/>
          <w:color w:val="auto"/>
          <w:kern w:val="2"/>
          <w:sz w:val="32"/>
          <w:szCs w:val="40"/>
          <w:highlight w:val="none"/>
          <w:lang w:val="en-US" w:eastAsia="zh-CN" w:bidi="ar-SA"/>
        </w:rPr>
        <w:t>。2024年，市财政安排2800万专项资金支持各地扩大文旅消费服务，发展房车露营、低空飞行等新业态，</w:t>
      </w:r>
      <w:r>
        <w:rPr>
          <w:rFonts w:hint="default" w:ascii="Times New Roman" w:hAnsi="Times New Roman" w:eastAsia="方正仿宋_GBK" w:cs="Times New Roman"/>
          <w:snapToGrid/>
          <w:color w:val="auto"/>
          <w:kern w:val="2"/>
          <w:sz w:val="32"/>
          <w:szCs w:val="40"/>
          <w:highlight w:val="none"/>
          <w:lang w:val="en-US" w:eastAsia="zh-CN" w:bidi="ar-SA"/>
        </w:rPr>
        <w:t>满足多元消费需求。</w:t>
      </w:r>
      <w:r>
        <w:rPr>
          <w:rFonts w:hint="eastAsia" w:ascii="Times New Roman" w:hAnsi="Times New Roman" w:eastAsia="方正仿宋_GBK" w:cs="Times New Roman"/>
          <w:snapToGrid/>
          <w:color w:val="auto"/>
          <w:kern w:val="2"/>
          <w:sz w:val="32"/>
          <w:szCs w:val="40"/>
          <w:highlight w:val="none"/>
          <w:lang w:val="en-US" w:eastAsia="zh-CN" w:bidi="ar-SA"/>
        </w:rPr>
        <w:t>推动盐城</w:t>
      </w:r>
      <w:r>
        <w:rPr>
          <w:rFonts w:hint="default" w:ascii="Times New Roman" w:hAnsi="Times New Roman" w:eastAsia="方正仿宋_GBK" w:cs="Times New Roman"/>
          <w:snapToGrid/>
          <w:color w:val="auto"/>
          <w:kern w:val="2"/>
          <w:sz w:val="32"/>
          <w:szCs w:val="40"/>
          <w:highlight w:val="none"/>
          <w:lang w:val="en-US" w:eastAsia="zh-CN" w:bidi="ar-SA"/>
        </w:rPr>
        <w:t>博物馆</w:t>
      </w:r>
      <w:r>
        <w:rPr>
          <w:rFonts w:hint="eastAsia" w:ascii="Times New Roman" w:hAnsi="Times New Roman" w:eastAsia="方正仿宋_GBK" w:cs="Times New Roman"/>
          <w:snapToGrid/>
          <w:color w:val="auto"/>
          <w:kern w:val="2"/>
          <w:sz w:val="32"/>
          <w:szCs w:val="40"/>
          <w:highlight w:val="none"/>
          <w:lang w:val="en-US" w:eastAsia="zh-CN" w:bidi="ar-SA"/>
        </w:rPr>
        <w:t>、黄海湿地博物馆等</w:t>
      </w:r>
      <w:r>
        <w:rPr>
          <w:rFonts w:hint="default" w:ascii="Times New Roman" w:hAnsi="Times New Roman" w:eastAsia="方正仿宋_GBK" w:cs="Times New Roman"/>
          <w:snapToGrid/>
          <w:color w:val="auto"/>
          <w:kern w:val="2"/>
          <w:sz w:val="32"/>
          <w:szCs w:val="40"/>
          <w:highlight w:val="none"/>
          <w:lang w:val="en-US" w:eastAsia="zh-CN" w:bidi="ar-SA"/>
        </w:rPr>
        <w:t>加强文创产品研发，开发“盐城盐”、盐博文创等主题文创产品</w:t>
      </w:r>
      <w:r>
        <w:rPr>
          <w:rFonts w:hint="eastAsia"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适当延长开放时间，更大限度满足公众参观需求，全年累计延长开放日不少于60天、延长开放时间不少于90小时。</w:t>
      </w:r>
      <w:r>
        <w:rPr>
          <w:rFonts w:hint="eastAsia" w:ascii="Times New Roman" w:hAnsi="Times New Roman" w:eastAsia="方正仿宋_GBK" w:cs="Times New Roman"/>
          <w:snapToGrid/>
          <w:color w:val="auto"/>
          <w:kern w:val="2"/>
          <w:sz w:val="32"/>
          <w:szCs w:val="40"/>
          <w:highlight w:val="none"/>
          <w:lang w:val="en-US" w:eastAsia="zh-CN" w:bidi="ar-SA"/>
        </w:rPr>
        <w:t>加强城市公园嵌入式篮球场、羽毛球场、足球场等设施建设，</w:t>
      </w:r>
      <w:r>
        <w:rPr>
          <w:rFonts w:hint="default" w:ascii="Times New Roman" w:hAnsi="Times New Roman" w:eastAsia="方正仿宋_GBK" w:cs="Times New Roman"/>
          <w:snapToGrid/>
          <w:color w:val="auto"/>
          <w:kern w:val="2"/>
          <w:sz w:val="32"/>
          <w:szCs w:val="40"/>
          <w:highlight w:val="none"/>
          <w:lang w:val="en-US" w:eastAsia="zh-CN" w:bidi="ar-SA"/>
        </w:rPr>
        <w:t>增设健身步道、骑行道，至2025年底，实现体育公园镇域全覆盖。</w:t>
      </w:r>
      <w:r>
        <w:rPr>
          <w:rFonts w:hint="default" w:ascii="Times New Roman" w:hAnsi="Times New Roman" w:eastAsia="方正楷体_GBK" w:cs="Times New Roman"/>
          <w:snapToGrid/>
          <w:color w:val="auto"/>
          <w:kern w:val="2"/>
          <w:sz w:val="32"/>
          <w:szCs w:val="40"/>
          <w:highlight w:val="none"/>
          <w:lang w:val="en-US" w:eastAsia="zh-CN" w:bidi="ar-SA"/>
        </w:rPr>
        <w:t>（责任单位：市商务局、市文广旅局、市体育局</w:t>
      </w:r>
      <w:r>
        <w:rPr>
          <w:rFonts w:hint="eastAsia" w:ascii="Times New Roman" w:hAnsi="Times New Roman" w:eastAsia="方正楷体_GBK" w:cs="Times New Roman"/>
          <w:snapToGrid/>
          <w:color w:val="auto"/>
          <w:kern w:val="2"/>
          <w:sz w:val="32"/>
          <w:szCs w:val="40"/>
          <w:highlight w:val="none"/>
          <w:lang w:val="en-US" w:eastAsia="zh-CN" w:bidi="ar-SA"/>
        </w:rPr>
        <w:t>、市财政局</w:t>
      </w:r>
      <w:r>
        <w:rPr>
          <w:rFonts w:hint="default" w:ascii="Times New Roman" w:hAnsi="Times New Roman" w:eastAsia="方正楷体_GBK" w:cs="Times New Roman"/>
          <w:snapToGrid/>
          <w:color w:val="auto"/>
          <w:kern w:val="2"/>
          <w:sz w:val="32"/>
          <w:szCs w:val="40"/>
          <w:highlight w:val="none"/>
          <w:lang w:val="en-US" w:eastAsia="zh-CN" w:bidi="ar-SA"/>
        </w:rPr>
        <w:t>）</w:t>
      </w:r>
    </w:p>
    <w:p w14:paraId="0C2D470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3. 激发老年消费潜力。</w:t>
      </w:r>
      <w:r>
        <w:rPr>
          <w:rFonts w:hint="eastAsia" w:ascii="Times New Roman" w:hAnsi="Times New Roman" w:eastAsia="方正仿宋_GBK" w:cs="Times New Roman"/>
          <w:snapToGrid/>
          <w:color w:val="auto"/>
          <w:kern w:val="2"/>
          <w:sz w:val="32"/>
          <w:szCs w:val="40"/>
          <w:highlight w:val="none"/>
          <w:lang w:val="en-US" w:eastAsia="zh-CN" w:bidi="ar-SA"/>
        </w:rPr>
        <w:t>大力发展“银发经济”，</w:t>
      </w:r>
      <w:r>
        <w:rPr>
          <w:rFonts w:hint="default" w:ascii="Times New Roman" w:hAnsi="Times New Roman" w:eastAsia="方正仿宋_GBK" w:cs="Times New Roman"/>
          <w:snapToGrid/>
          <w:color w:val="auto"/>
          <w:kern w:val="2"/>
          <w:sz w:val="32"/>
          <w:szCs w:val="40"/>
          <w:highlight w:val="none"/>
          <w:lang w:val="en-US" w:eastAsia="zh-CN" w:bidi="ar-SA"/>
        </w:rPr>
        <w:t>修订完善居家上门服务10助50项清单，健全上门服务流程，推进助老陪护服务标准化发展。支持养老机构“开门办院”，推动服务内容由机构服务向机构、社区、居家服务转变，拓展机构住养服务方式、社区养老服务功能、居家上门服务内容、家庭照护床位建设，鼓励发展康复医院、老年医院、护理院等医疗机构</w:t>
      </w:r>
      <w:r>
        <w:rPr>
          <w:rFonts w:hint="eastAsia"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到2025年，</w:t>
      </w:r>
      <w:r>
        <w:rPr>
          <w:rFonts w:hint="eastAsia" w:ascii="Times New Roman" w:hAnsi="Times New Roman" w:eastAsia="方正仿宋_GBK" w:cs="Times New Roman"/>
          <w:snapToGrid/>
          <w:color w:val="auto"/>
          <w:kern w:val="2"/>
          <w:sz w:val="32"/>
          <w:szCs w:val="40"/>
          <w:highlight w:val="none"/>
          <w:lang w:val="en-US" w:eastAsia="zh-CN" w:bidi="ar-SA"/>
        </w:rPr>
        <w:t>各地</w:t>
      </w:r>
      <w:r>
        <w:rPr>
          <w:rFonts w:hint="default" w:ascii="Times New Roman" w:hAnsi="Times New Roman" w:eastAsia="方正仿宋_GBK" w:cs="Times New Roman"/>
          <w:snapToGrid/>
          <w:color w:val="auto"/>
          <w:kern w:val="2"/>
          <w:sz w:val="32"/>
          <w:szCs w:val="40"/>
          <w:highlight w:val="none"/>
          <w:lang w:val="en-US" w:eastAsia="zh-CN" w:bidi="ar-SA"/>
        </w:rPr>
        <w:t>依托城市街道综合性养老服务中心建成不少于1家适老生活体验馆（店）。</w:t>
      </w:r>
      <w:r>
        <w:rPr>
          <w:rFonts w:hint="default" w:ascii="Times New Roman" w:hAnsi="Times New Roman" w:eastAsia="方正楷体_GBK" w:cs="Times New Roman"/>
          <w:snapToGrid/>
          <w:color w:val="auto"/>
          <w:kern w:val="2"/>
          <w:sz w:val="32"/>
          <w:szCs w:val="40"/>
          <w:highlight w:val="none"/>
          <w:lang w:val="en-US" w:eastAsia="zh-CN" w:bidi="ar-SA"/>
        </w:rPr>
        <w:t>（责任单位：市民政局、市卫健委、市商务局、市发改委、市财政局）</w:t>
      </w:r>
    </w:p>
    <w:p w14:paraId="20F0D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4. 多渠道增加居民收入。</w:t>
      </w:r>
      <w:r>
        <w:rPr>
          <w:rFonts w:hint="default" w:ascii="Times New Roman" w:hAnsi="Times New Roman" w:eastAsia="方正仿宋_GBK" w:cs="Times New Roman"/>
          <w:snapToGrid/>
          <w:color w:val="auto"/>
          <w:kern w:val="2"/>
          <w:sz w:val="32"/>
          <w:szCs w:val="40"/>
          <w:highlight w:val="none"/>
          <w:lang w:val="en-US" w:eastAsia="zh-CN" w:bidi="ar-SA"/>
        </w:rPr>
        <w:t>深化收入分配领域改革，深入实施中等收入群体壮大行动，探索通过土地、资本的要素使用权、收益权增加中低收入群体收入</w:t>
      </w:r>
      <w:r>
        <w:rPr>
          <w:rFonts w:hint="eastAsia" w:ascii="Times New Roman" w:hAnsi="Times New Roman" w:eastAsia="方正仿宋_GBK" w:cs="Times New Roman"/>
          <w:snapToGrid/>
          <w:color w:val="auto"/>
          <w:kern w:val="2"/>
          <w:sz w:val="32"/>
          <w:szCs w:val="40"/>
          <w:highlight w:val="none"/>
          <w:lang w:val="en-US" w:eastAsia="zh-CN" w:bidi="ar-SA"/>
        </w:rPr>
        <w:t>，推动居民收入增长和经济增长基本同步</w:t>
      </w:r>
      <w:r>
        <w:rPr>
          <w:rFonts w:hint="default" w:ascii="Times New Roman" w:hAnsi="Times New Roman" w:eastAsia="方正仿宋_GBK" w:cs="Times New Roman"/>
          <w:snapToGrid/>
          <w:color w:val="auto"/>
          <w:kern w:val="2"/>
          <w:sz w:val="32"/>
          <w:szCs w:val="40"/>
          <w:highlight w:val="none"/>
          <w:lang w:val="en-US" w:eastAsia="zh-CN" w:bidi="ar-SA"/>
        </w:rPr>
        <w:t>。</w:t>
      </w:r>
      <w:r>
        <w:rPr>
          <w:rFonts w:hint="eastAsia" w:ascii="Times New Roman" w:hAnsi="Times New Roman" w:eastAsia="方正仿宋_GBK" w:cs="Times New Roman"/>
          <w:snapToGrid/>
          <w:color w:val="auto"/>
          <w:kern w:val="2"/>
          <w:sz w:val="32"/>
          <w:szCs w:val="40"/>
          <w:highlight w:val="none"/>
          <w:lang w:val="en-US" w:eastAsia="zh-CN" w:bidi="ar-SA"/>
        </w:rPr>
        <w:t>实施农业产业化、就业服务帮扶、盘活闲置资产等举措，切实提升农村居民收入水平。</w:t>
      </w:r>
      <w:r>
        <w:rPr>
          <w:rFonts w:hint="default" w:ascii="Times New Roman" w:hAnsi="Times New Roman" w:eastAsia="方正仿宋_GBK" w:cs="Times New Roman"/>
          <w:snapToGrid/>
          <w:color w:val="auto"/>
          <w:kern w:val="2"/>
          <w:sz w:val="32"/>
          <w:szCs w:val="40"/>
          <w:highlight w:val="none"/>
          <w:lang w:val="en-US" w:eastAsia="zh-CN" w:bidi="ar-SA"/>
        </w:rPr>
        <w:t>及时调整全市最低工资标准，</w:t>
      </w:r>
      <w:r>
        <w:rPr>
          <w:rFonts w:hint="eastAsia" w:ascii="Times New Roman" w:hAnsi="Times New Roman" w:eastAsia="方正仿宋_GBK" w:cs="Times New Roman"/>
          <w:snapToGrid/>
          <w:color w:val="auto"/>
          <w:kern w:val="2"/>
          <w:sz w:val="32"/>
          <w:szCs w:val="40"/>
          <w:highlight w:val="none"/>
          <w:lang w:val="en-US" w:eastAsia="zh-CN" w:bidi="ar-SA"/>
        </w:rPr>
        <w:t>完善工资合理增长机制。</w:t>
      </w:r>
      <w:r>
        <w:rPr>
          <w:rFonts w:hint="default" w:ascii="Times New Roman" w:hAnsi="Times New Roman" w:eastAsia="方正仿宋_GBK" w:cs="Times New Roman"/>
          <w:snapToGrid/>
          <w:color w:val="auto"/>
          <w:kern w:val="2"/>
          <w:sz w:val="32"/>
          <w:szCs w:val="40"/>
          <w:highlight w:val="none"/>
          <w:lang w:val="en-US" w:eastAsia="zh-CN" w:bidi="ar-SA"/>
        </w:rPr>
        <w:t>开展以全市23条产业链、家政服务业等为主的企业薪酬调查工作，发布年度企业工资增长指导线。严格规范市属国有企业负责人薪酬分配和企业工资分配，推动形成合理有序的工资收入分配格局。适时调增各项社会保险待遇水平，</w:t>
      </w:r>
      <w:r>
        <w:rPr>
          <w:rFonts w:hint="eastAsia" w:ascii="Times New Roman" w:hAnsi="Times New Roman" w:eastAsia="方正仿宋_GBK" w:cs="Times New Roman"/>
          <w:snapToGrid/>
          <w:color w:val="auto"/>
          <w:kern w:val="2"/>
          <w:sz w:val="32"/>
          <w:szCs w:val="40"/>
          <w:highlight w:val="none"/>
          <w:lang w:val="en-US" w:eastAsia="zh-CN" w:bidi="ar-SA"/>
        </w:rPr>
        <w:t>适时全面推行个人养老金制度，</w:t>
      </w:r>
      <w:r>
        <w:rPr>
          <w:rFonts w:hint="default" w:ascii="Times New Roman" w:hAnsi="Times New Roman" w:eastAsia="方正仿宋_GBK" w:cs="Times New Roman"/>
          <w:snapToGrid/>
          <w:color w:val="auto"/>
          <w:kern w:val="2"/>
          <w:sz w:val="32"/>
          <w:szCs w:val="40"/>
          <w:highlight w:val="none"/>
          <w:lang w:val="en-US" w:eastAsia="zh-CN" w:bidi="ar-SA"/>
        </w:rPr>
        <w:t>努力提升参保群众的幸福感和获得感。</w:t>
      </w:r>
      <w:r>
        <w:rPr>
          <w:rFonts w:hint="default" w:ascii="Times New Roman" w:hAnsi="Times New Roman" w:eastAsia="方正楷体_GBK" w:cs="Times New Roman"/>
          <w:snapToGrid/>
          <w:color w:val="auto"/>
          <w:kern w:val="2"/>
          <w:sz w:val="32"/>
          <w:szCs w:val="40"/>
          <w:highlight w:val="none"/>
          <w:lang w:val="en-US" w:eastAsia="zh-CN" w:bidi="ar-SA"/>
        </w:rPr>
        <w:t>（责任单位：市发改委、市人社局、</w:t>
      </w:r>
      <w:r>
        <w:rPr>
          <w:rFonts w:hint="eastAsia" w:ascii="Times New Roman" w:hAnsi="Times New Roman" w:eastAsia="方正楷体_GBK" w:cs="Times New Roman"/>
          <w:snapToGrid/>
          <w:color w:val="auto"/>
          <w:kern w:val="2"/>
          <w:sz w:val="32"/>
          <w:szCs w:val="40"/>
          <w:highlight w:val="none"/>
          <w:lang w:val="en-US" w:eastAsia="zh-CN" w:bidi="ar-SA"/>
        </w:rPr>
        <w:t>市农业农村局、</w:t>
      </w:r>
      <w:r>
        <w:rPr>
          <w:rFonts w:hint="default" w:ascii="Times New Roman" w:hAnsi="Times New Roman" w:eastAsia="方正楷体_GBK" w:cs="Times New Roman"/>
          <w:snapToGrid/>
          <w:color w:val="auto"/>
          <w:kern w:val="2"/>
          <w:sz w:val="32"/>
          <w:szCs w:val="40"/>
          <w:highlight w:val="none"/>
          <w:lang w:val="en-US" w:eastAsia="zh-CN" w:bidi="ar-SA"/>
        </w:rPr>
        <w:t>市总工会、市财政局）</w:t>
      </w:r>
    </w:p>
    <w:p w14:paraId="601219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二、扩大有效益的投资</w:t>
      </w:r>
    </w:p>
    <w:p w14:paraId="2FF60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5. 高质量推进“两重”项目谋划。</w:t>
      </w:r>
      <w:r>
        <w:rPr>
          <w:rFonts w:hint="eastAsia" w:ascii="Times New Roman" w:hAnsi="Times New Roman" w:eastAsia="方正仿宋_GBK" w:cs="Times New Roman"/>
          <w:snapToGrid/>
          <w:color w:val="auto"/>
          <w:kern w:val="2"/>
          <w:sz w:val="32"/>
          <w:szCs w:val="40"/>
          <w:highlight w:val="none"/>
          <w:lang w:val="en-US" w:eastAsia="zh-CN" w:bidi="ar-SA"/>
        </w:rPr>
        <w:t>聚焦国家明确的8个方面17项重点任务，紧扣</w:t>
      </w:r>
      <w:r>
        <w:rPr>
          <w:rFonts w:hint="default" w:ascii="Times New Roman" w:hAnsi="Times New Roman" w:eastAsia="方正仿宋_GBK" w:cs="Times New Roman"/>
          <w:snapToGrid/>
          <w:color w:val="auto"/>
          <w:kern w:val="2"/>
          <w:sz w:val="32"/>
          <w:szCs w:val="40"/>
          <w:highlight w:val="none"/>
          <w:lang w:val="en-US" w:eastAsia="zh-CN" w:bidi="ar-SA"/>
        </w:rPr>
        <w:t>长三角一体化、长江经济带、淮河生态经济带、沿海发展等重大战略，结合“十五五”规划编制，</w:t>
      </w:r>
      <w:r>
        <w:rPr>
          <w:rFonts w:hint="eastAsia" w:ascii="Times New Roman" w:hAnsi="Times New Roman" w:eastAsia="方正仿宋_GBK" w:cs="Times New Roman"/>
          <w:snapToGrid/>
          <w:color w:val="auto"/>
          <w:kern w:val="2"/>
          <w:sz w:val="32"/>
          <w:szCs w:val="40"/>
          <w:highlight w:val="none"/>
          <w:lang w:val="en-US" w:eastAsia="zh-CN" w:bidi="ar-SA"/>
        </w:rPr>
        <w:t>建立超长期特别国债重点项目储备库，</w:t>
      </w:r>
      <w:r>
        <w:rPr>
          <w:rFonts w:hint="default" w:ascii="Times New Roman" w:hAnsi="Times New Roman" w:eastAsia="方正仿宋_GBK" w:cs="Times New Roman"/>
          <w:snapToGrid/>
          <w:color w:val="auto"/>
          <w:kern w:val="2"/>
          <w:sz w:val="32"/>
          <w:szCs w:val="40"/>
          <w:highlight w:val="none"/>
          <w:lang w:val="en-US" w:eastAsia="zh-CN" w:bidi="ar-SA"/>
        </w:rPr>
        <w:t>系统谋划储备一批</w:t>
      </w:r>
      <w:r>
        <w:rPr>
          <w:rFonts w:hint="eastAsia" w:ascii="Times New Roman" w:hAnsi="Times New Roman" w:eastAsia="方正仿宋_GBK" w:cs="Times New Roman"/>
          <w:snapToGrid/>
          <w:color w:val="auto"/>
          <w:kern w:val="2"/>
          <w:sz w:val="32"/>
          <w:szCs w:val="40"/>
          <w:highlight w:val="none"/>
          <w:lang w:val="en-US" w:eastAsia="zh-CN" w:bidi="ar-SA"/>
        </w:rPr>
        <w:t>契合我市</w:t>
      </w:r>
      <w:r>
        <w:rPr>
          <w:rFonts w:hint="default" w:ascii="Times New Roman" w:hAnsi="Times New Roman" w:eastAsia="方正仿宋_GBK" w:cs="Times New Roman"/>
          <w:snapToGrid/>
          <w:color w:val="auto"/>
          <w:kern w:val="2"/>
          <w:sz w:val="32"/>
          <w:szCs w:val="40"/>
          <w:highlight w:val="none"/>
          <w:lang w:val="en-US" w:eastAsia="zh-CN" w:bidi="ar-SA"/>
        </w:rPr>
        <w:t>实际的标志性、牵引性、战略性项目，</w:t>
      </w:r>
      <w:r>
        <w:rPr>
          <w:rFonts w:hint="eastAsia" w:ascii="Times New Roman" w:hAnsi="Times New Roman" w:eastAsia="方正仿宋_GBK" w:cs="Times New Roman"/>
          <w:snapToGrid/>
          <w:color w:val="auto"/>
          <w:kern w:val="2"/>
          <w:sz w:val="32"/>
          <w:szCs w:val="40"/>
          <w:highlight w:val="none"/>
          <w:lang w:val="en-US" w:eastAsia="zh-CN" w:bidi="ar-SA"/>
        </w:rPr>
        <w:t>抓紧开展前期工作，争取列入国家规划，</w:t>
      </w:r>
      <w:r>
        <w:rPr>
          <w:rFonts w:hint="default" w:ascii="Times New Roman" w:hAnsi="Times New Roman" w:eastAsia="方正仿宋_GBK" w:cs="Times New Roman"/>
          <w:snapToGrid/>
          <w:color w:val="auto"/>
          <w:kern w:val="2"/>
          <w:sz w:val="32"/>
          <w:szCs w:val="40"/>
          <w:highlight w:val="none"/>
          <w:lang w:val="en-US" w:eastAsia="zh-CN" w:bidi="ar-SA"/>
        </w:rPr>
        <w:t>积极争取超长期特别国债资金支持。</w:t>
      </w:r>
      <w:r>
        <w:rPr>
          <w:rFonts w:hint="eastAsia" w:ascii="Times New Roman" w:hAnsi="Times New Roman" w:eastAsia="方正仿宋_GBK" w:cs="Times New Roman"/>
          <w:snapToGrid/>
          <w:color w:val="auto"/>
          <w:kern w:val="2"/>
          <w:sz w:val="32"/>
          <w:szCs w:val="40"/>
          <w:highlight w:val="none"/>
          <w:lang w:val="en-US" w:eastAsia="zh-CN" w:bidi="ar-SA"/>
        </w:rPr>
        <w:t>坚持系统推进、</w:t>
      </w:r>
      <w:r>
        <w:rPr>
          <w:rFonts w:hint="default" w:ascii="Times New Roman" w:hAnsi="Times New Roman" w:eastAsia="方正仿宋_GBK" w:cs="Times New Roman"/>
          <w:snapToGrid/>
          <w:color w:val="auto"/>
          <w:kern w:val="2"/>
          <w:sz w:val="32"/>
          <w:szCs w:val="40"/>
          <w:highlight w:val="none"/>
          <w:lang w:val="en-US" w:eastAsia="zh-CN" w:bidi="ar-SA"/>
        </w:rPr>
        <w:t>统筹整合，</w:t>
      </w:r>
      <w:r>
        <w:rPr>
          <w:rFonts w:hint="eastAsia" w:ascii="Times New Roman" w:hAnsi="Times New Roman" w:eastAsia="方正仿宋_GBK" w:cs="Times New Roman"/>
          <w:snapToGrid/>
          <w:color w:val="auto"/>
          <w:kern w:val="2"/>
          <w:sz w:val="32"/>
          <w:szCs w:val="40"/>
          <w:highlight w:val="none"/>
          <w:lang w:val="en-US" w:eastAsia="zh-CN" w:bidi="ar-SA"/>
        </w:rPr>
        <w:t>支持</w:t>
      </w:r>
      <w:r>
        <w:rPr>
          <w:rFonts w:hint="default" w:ascii="Times New Roman" w:hAnsi="Times New Roman" w:eastAsia="方正仿宋_GBK" w:cs="Times New Roman"/>
          <w:snapToGrid/>
          <w:color w:val="auto"/>
          <w:kern w:val="2"/>
          <w:sz w:val="32"/>
          <w:szCs w:val="40"/>
          <w:highlight w:val="none"/>
          <w:lang w:val="en-US" w:eastAsia="zh-CN" w:bidi="ar-SA"/>
        </w:rPr>
        <w:t>以县（市、区）为单位，对辖区内供水、供热、燃气、排水防涝、雨污分流等领域项目，进行适度打包、整体立项，提升项目规模体量和竞争力。将纳入国家超长期特别国债支持范围的重点项目纳入市重大项目建设保障机制，强化各类要素保障，加快推进项目建设。</w:t>
      </w:r>
      <w:r>
        <w:rPr>
          <w:rFonts w:hint="default" w:ascii="Times New Roman" w:hAnsi="Times New Roman" w:eastAsia="方正楷体_GBK" w:cs="Times New Roman"/>
          <w:snapToGrid/>
          <w:color w:val="auto"/>
          <w:kern w:val="2"/>
          <w:sz w:val="32"/>
          <w:szCs w:val="40"/>
          <w:highlight w:val="none"/>
          <w:lang w:val="en-US" w:eastAsia="zh-CN" w:bidi="ar-SA"/>
        </w:rPr>
        <w:t>（责任单位：市发改委、市教育局、市科技局、市工信局、市民政局、市生态环境局、市住建局、市交通局、市水利局、市农业农村局、市卫健委等有关部门</w:t>
      </w:r>
      <w:r>
        <w:rPr>
          <w:rFonts w:hint="eastAsia" w:ascii="Times New Roman" w:hAnsi="Times New Roman" w:eastAsia="方正楷体_GBK" w:cs="Times New Roman"/>
          <w:snapToGrid/>
          <w:color w:val="auto"/>
          <w:kern w:val="2"/>
          <w:sz w:val="32"/>
          <w:szCs w:val="40"/>
          <w:highlight w:val="none"/>
          <w:lang w:val="en-US" w:eastAsia="zh-CN" w:bidi="ar-SA"/>
        </w:rPr>
        <w:t>）</w:t>
      </w:r>
    </w:p>
    <w:p w14:paraId="33A43A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6. 加大设备更新支持力度。</w:t>
      </w:r>
      <w:r>
        <w:rPr>
          <w:rFonts w:hint="default" w:ascii="Times New Roman" w:hAnsi="Times New Roman" w:eastAsia="方正仿宋_GBK" w:cs="Times New Roman"/>
          <w:snapToGrid/>
          <w:color w:val="auto"/>
          <w:kern w:val="2"/>
          <w:sz w:val="32"/>
          <w:szCs w:val="40"/>
          <w:highlight w:val="none"/>
          <w:lang w:val="en-US" w:eastAsia="zh-CN" w:bidi="ar-SA"/>
        </w:rPr>
        <w:t>积极争取中央预算内投资、超长期特别国债、制造业中长期贷款等国家资金和省级专项资金支持</w:t>
      </w:r>
      <w:r>
        <w:rPr>
          <w:rFonts w:hint="eastAsia" w:ascii="Times New Roman" w:hAnsi="Times New Roman" w:eastAsia="方正仿宋_GBK" w:cs="Times New Roman"/>
          <w:snapToGrid/>
          <w:color w:val="auto"/>
          <w:kern w:val="2"/>
          <w:sz w:val="32"/>
          <w:szCs w:val="40"/>
          <w:highlight w:val="none"/>
          <w:lang w:val="en-US" w:eastAsia="zh-CN" w:bidi="ar-SA"/>
        </w:rPr>
        <w:t>大规模设备更新</w:t>
      </w:r>
      <w:r>
        <w:rPr>
          <w:rFonts w:hint="default" w:ascii="Times New Roman" w:hAnsi="Times New Roman" w:eastAsia="方正仿宋_GBK" w:cs="Times New Roman"/>
          <w:snapToGrid/>
          <w:color w:val="auto"/>
          <w:kern w:val="2"/>
          <w:sz w:val="32"/>
          <w:szCs w:val="40"/>
          <w:highlight w:val="none"/>
          <w:lang w:val="en-US" w:eastAsia="zh-CN" w:bidi="ar-SA"/>
        </w:rPr>
        <w:t>。</w:t>
      </w:r>
      <w:r>
        <w:rPr>
          <w:rFonts w:hint="eastAsia" w:ascii="Times New Roman" w:hAnsi="Times New Roman" w:eastAsia="方正仿宋_GBK" w:cs="Times New Roman"/>
          <w:snapToGrid/>
          <w:color w:val="auto"/>
          <w:kern w:val="2"/>
          <w:sz w:val="32"/>
          <w:szCs w:val="40"/>
          <w:highlight w:val="none"/>
          <w:lang w:val="en-US" w:eastAsia="zh-CN" w:bidi="ar-SA"/>
        </w:rPr>
        <w:t>持续</w:t>
      </w:r>
      <w:r>
        <w:rPr>
          <w:rFonts w:hint="default" w:ascii="Times New Roman" w:hAnsi="Times New Roman" w:eastAsia="方正仿宋_GBK" w:cs="Times New Roman"/>
          <w:snapToGrid/>
          <w:color w:val="auto"/>
          <w:kern w:val="2"/>
          <w:sz w:val="32"/>
          <w:szCs w:val="40"/>
          <w:highlight w:val="none"/>
          <w:lang w:val="en-US" w:eastAsia="zh-CN" w:bidi="ar-SA"/>
        </w:rPr>
        <w:t>开展设备更新供需对接活动，力争</w:t>
      </w:r>
      <w:r>
        <w:rPr>
          <w:rFonts w:hint="eastAsia" w:ascii="Times New Roman" w:hAnsi="Times New Roman" w:eastAsia="方正仿宋_GBK" w:cs="Times New Roman"/>
          <w:snapToGrid/>
          <w:color w:val="auto"/>
          <w:kern w:val="2"/>
          <w:sz w:val="32"/>
          <w:szCs w:val="40"/>
          <w:highlight w:val="none"/>
          <w:lang w:val="en-US" w:eastAsia="zh-CN" w:bidi="ar-SA"/>
        </w:rPr>
        <w:t>2024年</w:t>
      </w:r>
      <w:r>
        <w:rPr>
          <w:rFonts w:hint="default" w:ascii="Times New Roman" w:hAnsi="Times New Roman" w:eastAsia="方正仿宋_GBK" w:cs="Times New Roman"/>
          <w:snapToGrid/>
          <w:color w:val="auto"/>
          <w:kern w:val="2"/>
          <w:sz w:val="32"/>
          <w:szCs w:val="40"/>
          <w:highlight w:val="none"/>
          <w:lang w:val="en-US" w:eastAsia="zh-CN" w:bidi="ar-SA"/>
        </w:rPr>
        <w:t>带动设备投资700亿元。加大市级专项资金整合力度，</w:t>
      </w:r>
      <w:r>
        <w:rPr>
          <w:rFonts w:hint="eastAsia" w:ascii="Times New Roman" w:hAnsi="Times New Roman" w:eastAsia="方正仿宋_GBK" w:cs="Times New Roman"/>
          <w:snapToGrid/>
          <w:color w:val="auto"/>
          <w:kern w:val="2"/>
          <w:sz w:val="32"/>
          <w:szCs w:val="40"/>
          <w:highlight w:val="none"/>
          <w:lang w:val="en-US" w:eastAsia="zh-CN" w:bidi="ar-SA"/>
        </w:rPr>
        <w:t>聚焦</w:t>
      </w:r>
      <w:r>
        <w:rPr>
          <w:rFonts w:hint="default" w:ascii="Times New Roman" w:hAnsi="Times New Roman" w:eastAsia="方正仿宋_GBK" w:cs="Times New Roman"/>
          <w:snapToGrid/>
          <w:color w:val="auto"/>
          <w:kern w:val="2"/>
          <w:sz w:val="32"/>
          <w:szCs w:val="40"/>
          <w:highlight w:val="none"/>
          <w:lang w:val="en-US" w:eastAsia="zh-CN" w:bidi="ar-SA"/>
        </w:rPr>
        <w:t>工业、</w:t>
      </w:r>
      <w:r>
        <w:rPr>
          <w:rFonts w:hint="eastAsia" w:ascii="Times New Roman" w:hAnsi="Times New Roman" w:eastAsia="方正仿宋_GBK" w:cs="Times New Roman"/>
          <w:snapToGrid/>
          <w:color w:val="auto"/>
          <w:kern w:val="2"/>
          <w:sz w:val="32"/>
          <w:szCs w:val="40"/>
          <w:highlight w:val="none"/>
          <w:lang w:val="en-US" w:eastAsia="zh-CN" w:bidi="ar-SA"/>
        </w:rPr>
        <w:t>环境基础设施、</w:t>
      </w:r>
      <w:r>
        <w:rPr>
          <w:rFonts w:hint="default" w:ascii="Times New Roman" w:hAnsi="Times New Roman" w:eastAsia="方正仿宋_GBK" w:cs="Times New Roman"/>
          <w:snapToGrid/>
          <w:color w:val="auto"/>
          <w:kern w:val="2"/>
          <w:sz w:val="32"/>
          <w:szCs w:val="40"/>
          <w:highlight w:val="none"/>
          <w:lang w:val="en-US" w:eastAsia="zh-CN" w:bidi="ar-SA"/>
        </w:rPr>
        <w:t>能源</w:t>
      </w:r>
      <w:r>
        <w:rPr>
          <w:rFonts w:hint="eastAsia" w:ascii="Times New Roman" w:hAnsi="Times New Roman" w:eastAsia="方正仿宋_GBK" w:cs="Times New Roman"/>
          <w:snapToGrid/>
          <w:color w:val="auto"/>
          <w:kern w:val="2"/>
          <w:sz w:val="32"/>
          <w:szCs w:val="40"/>
          <w:highlight w:val="none"/>
          <w:lang w:val="en-US" w:eastAsia="zh-CN" w:bidi="ar-SA"/>
        </w:rPr>
        <w:t>电力、</w:t>
      </w:r>
      <w:r>
        <w:rPr>
          <w:rFonts w:hint="default" w:ascii="Times New Roman" w:hAnsi="Times New Roman" w:eastAsia="方正仿宋_GBK" w:cs="Times New Roman"/>
          <w:snapToGrid/>
          <w:color w:val="auto"/>
          <w:kern w:val="2"/>
          <w:sz w:val="32"/>
          <w:szCs w:val="40"/>
          <w:highlight w:val="none"/>
          <w:lang w:val="en-US" w:eastAsia="zh-CN" w:bidi="ar-SA"/>
        </w:rPr>
        <w:t>交通</w:t>
      </w:r>
      <w:r>
        <w:rPr>
          <w:rFonts w:hint="eastAsia" w:ascii="Times New Roman" w:hAnsi="Times New Roman" w:eastAsia="方正仿宋_GBK" w:cs="Times New Roman"/>
          <w:snapToGrid/>
          <w:color w:val="auto"/>
          <w:kern w:val="2"/>
          <w:sz w:val="32"/>
          <w:szCs w:val="40"/>
          <w:highlight w:val="none"/>
          <w:lang w:val="en-US" w:eastAsia="zh-CN" w:bidi="ar-SA"/>
        </w:rPr>
        <w:t>物流</w:t>
      </w:r>
      <w:r>
        <w:rPr>
          <w:rFonts w:hint="default" w:ascii="Times New Roman" w:hAnsi="Times New Roman" w:eastAsia="方正仿宋_GBK" w:cs="Times New Roman"/>
          <w:snapToGrid/>
          <w:color w:val="auto"/>
          <w:kern w:val="2"/>
          <w:sz w:val="32"/>
          <w:szCs w:val="40"/>
          <w:highlight w:val="none"/>
          <w:lang w:val="en-US" w:eastAsia="zh-CN" w:bidi="ar-SA"/>
        </w:rPr>
        <w:t>、</w:t>
      </w:r>
      <w:r>
        <w:rPr>
          <w:rFonts w:hint="eastAsia" w:ascii="Times New Roman" w:hAnsi="Times New Roman" w:eastAsia="方正仿宋_GBK" w:cs="Times New Roman"/>
          <w:snapToGrid/>
          <w:color w:val="auto"/>
          <w:kern w:val="2"/>
          <w:sz w:val="32"/>
          <w:szCs w:val="40"/>
          <w:highlight w:val="none"/>
          <w:lang w:val="en-US" w:eastAsia="zh-CN" w:bidi="ar-SA"/>
        </w:rPr>
        <w:t>科技、教育、文</w:t>
      </w:r>
      <w:r>
        <w:rPr>
          <w:rFonts w:hint="default" w:ascii="Times New Roman" w:hAnsi="Times New Roman" w:eastAsia="方正仿宋_GBK" w:cs="Times New Roman"/>
          <w:snapToGrid/>
          <w:color w:val="auto"/>
          <w:kern w:val="2"/>
          <w:sz w:val="32"/>
          <w:szCs w:val="40"/>
          <w:highlight w:val="none"/>
          <w:lang w:val="en-US" w:eastAsia="zh-CN" w:bidi="ar-SA"/>
        </w:rPr>
        <w:t>旅、医疗、</w:t>
      </w:r>
      <w:r>
        <w:rPr>
          <w:rFonts w:hint="eastAsia" w:ascii="Times New Roman" w:hAnsi="Times New Roman" w:eastAsia="方正仿宋_GBK" w:cs="Times New Roman"/>
          <w:snapToGrid/>
          <w:color w:val="auto"/>
          <w:kern w:val="2"/>
          <w:sz w:val="32"/>
          <w:szCs w:val="40"/>
          <w:highlight w:val="none"/>
          <w:lang w:val="en-US" w:eastAsia="zh-CN" w:bidi="ar-SA"/>
        </w:rPr>
        <w:t>老旧电梯、农业机械、城市生命线、化工以及回收循环利用</w:t>
      </w:r>
      <w:r>
        <w:rPr>
          <w:rFonts w:hint="default" w:ascii="Times New Roman" w:hAnsi="Times New Roman" w:eastAsia="方正仿宋_GBK" w:cs="Times New Roman"/>
          <w:snapToGrid/>
          <w:color w:val="auto"/>
          <w:kern w:val="2"/>
          <w:sz w:val="32"/>
          <w:szCs w:val="40"/>
          <w:highlight w:val="none"/>
          <w:lang w:val="en-US" w:eastAsia="zh-CN" w:bidi="ar-SA"/>
        </w:rPr>
        <w:t>等领域</w:t>
      </w:r>
      <w:r>
        <w:rPr>
          <w:rFonts w:hint="eastAsia" w:ascii="Times New Roman" w:hAnsi="Times New Roman" w:eastAsia="方正仿宋_GBK" w:cs="Times New Roman"/>
          <w:snapToGrid/>
          <w:color w:val="auto"/>
          <w:kern w:val="2"/>
          <w:sz w:val="32"/>
          <w:szCs w:val="40"/>
          <w:highlight w:val="none"/>
          <w:lang w:val="en-US" w:eastAsia="zh-CN" w:bidi="ar-SA"/>
        </w:rPr>
        <w:t>，对</w:t>
      </w:r>
      <w:r>
        <w:rPr>
          <w:rFonts w:hint="default" w:ascii="Times New Roman" w:hAnsi="Times New Roman" w:eastAsia="方正仿宋_GBK" w:cs="Times New Roman"/>
          <w:snapToGrid/>
          <w:color w:val="auto"/>
          <w:kern w:val="2"/>
          <w:sz w:val="32"/>
          <w:szCs w:val="40"/>
          <w:highlight w:val="none"/>
          <w:lang w:val="en-US" w:eastAsia="zh-CN" w:bidi="ar-SA"/>
        </w:rPr>
        <w:t>设备数字化改造、淘汰落后改造、智能制造示范工厂建设等项目给予补助，对符合要求的制造业相关设备购置与更新改造项目给予贷款贴息支持。持续落实购置节能专用装备抵免、合同能源管理项目所得税优惠和资源综合利用税收优惠等政策。引导金融机构加大对设备更新和技术改造的信贷投放力度，合理确定贷款利率。</w:t>
      </w:r>
      <w:r>
        <w:rPr>
          <w:rFonts w:hint="default" w:ascii="Times New Roman" w:hAnsi="Times New Roman" w:eastAsia="方正楷体_GBK" w:cs="Times New Roman"/>
          <w:snapToGrid/>
          <w:color w:val="auto"/>
          <w:kern w:val="2"/>
          <w:sz w:val="32"/>
          <w:szCs w:val="40"/>
          <w:highlight w:val="none"/>
          <w:lang w:val="en-US" w:eastAsia="zh-CN" w:bidi="ar-SA"/>
        </w:rPr>
        <w:t>（责任单位：市工信局、市发改委、市财政局、市住建局、</w:t>
      </w:r>
      <w:r>
        <w:rPr>
          <w:rFonts w:hint="default" w:ascii="Times New Roman" w:hAnsi="Times New Roman" w:eastAsia="方正楷体_GBK" w:cs="Times New Roman"/>
          <w:snapToGrid/>
          <w:color w:val="auto"/>
          <w:kern w:val="2"/>
          <w:sz w:val="32"/>
          <w:szCs w:val="40"/>
          <w:highlight w:val="none"/>
          <w:lang w:val="en-US" w:eastAsia="zh-CN" w:bidi="ar-SA"/>
        </w:rPr>
        <w:t>市教育局、市科技局、市生态环境局、</w:t>
      </w:r>
      <w:r>
        <w:rPr>
          <w:rFonts w:hint="default" w:ascii="Times New Roman" w:hAnsi="Times New Roman" w:eastAsia="方正楷体_GBK" w:cs="Times New Roman"/>
          <w:snapToGrid/>
          <w:color w:val="auto"/>
          <w:kern w:val="2"/>
          <w:sz w:val="32"/>
          <w:szCs w:val="40"/>
          <w:highlight w:val="none"/>
          <w:lang w:val="en-US" w:eastAsia="zh-CN" w:bidi="ar-SA"/>
        </w:rPr>
        <w:t>市交通局、</w:t>
      </w:r>
      <w:r>
        <w:rPr>
          <w:rFonts w:hint="eastAsia" w:ascii="Times New Roman" w:hAnsi="Times New Roman" w:eastAsia="方正楷体_GBK" w:cs="Times New Roman"/>
          <w:snapToGrid/>
          <w:color w:val="auto"/>
          <w:kern w:val="2"/>
          <w:sz w:val="32"/>
          <w:szCs w:val="40"/>
          <w:highlight w:val="none"/>
          <w:lang w:val="en-US" w:eastAsia="zh-CN" w:bidi="ar-SA"/>
        </w:rPr>
        <w:t>市农业农村局、</w:t>
      </w:r>
      <w:r>
        <w:rPr>
          <w:rFonts w:hint="default" w:ascii="Times New Roman" w:hAnsi="Times New Roman" w:eastAsia="方正楷体_GBK" w:cs="Times New Roman"/>
          <w:snapToGrid/>
          <w:color w:val="auto"/>
          <w:kern w:val="2"/>
          <w:sz w:val="32"/>
          <w:szCs w:val="40"/>
          <w:highlight w:val="none"/>
          <w:lang w:val="en-US" w:eastAsia="zh-CN" w:bidi="ar-SA"/>
        </w:rPr>
        <w:t>市文广旅局、市市场监管局等有关部门）</w:t>
      </w:r>
    </w:p>
    <w:p w14:paraId="5F78C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7. 强化重大项目要素保障。</w:t>
      </w:r>
      <w:r>
        <w:rPr>
          <w:rFonts w:hint="default" w:ascii="Times New Roman" w:hAnsi="Times New Roman" w:eastAsia="方正仿宋_GBK" w:cs="Times New Roman"/>
          <w:snapToGrid/>
          <w:color w:val="auto"/>
          <w:kern w:val="2"/>
          <w:sz w:val="32"/>
          <w:szCs w:val="40"/>
          <w:highlight w:val="none"/>
          <w:lang w:val="en-US" w:eastAsia="zh-CN" w:bidi="ar-SA"/>
        </w:rPr>
        <w:t>围绕“开工率、入统率、竣工率、达效率”，抓好15个列省民间投资重点产业项目、31个列省重大项目、587个市重大项目建设，</w:t>
      </w:r>
      <w:r>
        <w:rPr>
          <w:rFonts w:hint="eastAsia" w:ascii="Times New Roman" w:hAnsi="Times New Roman" w:eastAsia="方正仿宋_GBK" w:cs="Times New Roman"/>
          <w:snapToGrid/>
          <w:color w:val="auto"/>
          <w:kern w:val="2"/>
          <w:sz w:val="32"/>
          <w:szCs w:val="40"/>
          <w:highlight w:val="none"/>
          <w:lang w:val="en-US" w:eastAsia="zh-CN" w:bidi="ar-SA"/>
        </w:rPr>
        <w:t>2024年力争</w:t>
      </w:r>
      <w:r>
        <w:rPr>
          <w:rFonts w:hint="default" w:ascii="Times New Roman" w:hAnsi="Times New Roman" w:eastAsia="方正仿宋_GBK" w:cs="Times New Roman"/>
          <w:snapToGrid/>
          <w:color w:val="auto"/>
          <w:kern w:val="2"/>
          <w:sz w:val="32"/>
          <w:szCs w:val="40"/>
          <w:highlight w:val="none"/>
          <w:lang w:val="en-US" w:eastAsia="zh-CN" w:bidi="ar-SA"/>
        </w:rPr>
        <w:t>完成投资2000亿元。</w:t>
      </w:r>
      <w:r>
        <w:rPr>
          <w:rFonts w:hint="eastAsia" w:ascii="Times New Roman" w:hAnsi="Times New Roman" w:eastAsia="方正仿宋_GBK" w:cs="Times New Roman"/>
          <w:snapToGrid/>
          <w:color w:val="auto"/>
          <w:kern w:val="2"/>
          <w:sz w:val="32"/>
          <w:szCs w:val="40"/>
          <w:highlight w:val="none"/>
          <w:lang w:val="en-US" w:eastAsia="zh-CN" w:bidi="ar-SA"/>
        </w:rPr>
        <w:t>滚动编排服务业重大项目清单，2024年</w:t>
      </w:r>
      <w:r>
        <w:rPr>
          <w:rFonts w:hint="default" w:ascii="Times New Roman" w:hAnsi="Times New Roman" w:eastAsia="方正仿宋_GBK" w:cs="Times New Roman"/>
          <w:snapToGrid/>
          <w:color w:val="auto"/>
          <w:kern w:val="2"/>
          <w:sz w:val="32"/>
          <w:szCs w:val="40"/>
          <w:highlight w:val="none"/>
          <w:lang w:val="en-US" w:eastAsia="zh-CN" w:bidi="ar-SA"/>
        </w:rPr>
        <w:t>新开工亿元以上服务业项目160个。统筹推进成片开发、规划选址、土地征收等工作，开辟重大项目用地报批绿色通道，对各级重大项目用地用海用林应保尽保，全面推行用地用林合并审批，实施产业用地建设用地规划许可证、建设工程规划许可证、不动产权证“三证齐发”，持续推行“拿地即开工”。推进规划环评与项目环评联动、环评与排污许可“两证审批合一”等工作，创新实施项目环评豁免、项目</w:t>
      </w:r>
      <w:r>
        <w:rPr>
          <w:rFonts w:hint="default" w:ascii="Times New Roman" w:hAnsi="Times New Roman" w:eastAsia="方正仿宋_GBK" w:cs="Times New Roman"/>
          <w:snapToGrid/>
          <w:color w:val="auto"/>
          <w:kern w:val="2"/>
          <w:sz w:val="32"/>
          <w:szCs w:val="40"/>
          <w:highlight w:val="none"/>
          <w:lang w:val="en-US" w:eastAsia="zh-CN" w:bidi="ar-SA"/>
        </w:rPr>
        <w:t>先建设后办理环评等举措。</w:t>
      </w:r>
      <w:r>
        <w:rPr>
          <w:rFonts w:hint="default" w:ascii="Times New Roman" w:hAnsi="Times New Roman" w:eastAsia="方正楷体_GBK" w:cs="Times New Roman"/>
          <w:snapToGrid/>
          <w:color w:val="auto"/>
          <w:kern w:val="2"/>
          <w:sz w:val="32"/>
          <w:szCs w:val="40"/>
          <w:highlight w:val="none"/>
          <w:lang w:val="en-US" w:eastAsia="zh-CN" w:bidi="ar-SA"/>
        </w:rPr>
        <w:t>（责任单位：市发改委、市工信局、市自然资源和规划局、市生态环境局）</w:t>
      </w:r>
    </w:p>
    <w:p w14:paraId="4D5ED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 xml:space="preserve">8. </w:t>
      </w:r>
      <w:r>
        <w:rPr>
          <w:rFonts w:hint="eastAsia" w:ascii="Times New Roman" w:hAnsi="Times New Roman" w:eastAsia="方正楷体_GBK" w:cs="Times New Roman"/>
          <w:color w:val="auto"/>
          <w:sz w:val="32"/>
          <w:szCs w:val="40"/>
          <w:highlight w:val="none"/>
          <w:lang w:val="en-US" w:eastAsia="zh-CN"/>
        </w:rPr>
        <w:t>加快交通基础设施建设</w:t>
      </w:r>
      <w:r>
        <w:rPr>
          <w:rFonts w:hint="default" w:ascii="Times New Roman" w:hAnsi="Times New Roman" w:eastAsia="方正楷体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支持交通强市和交通运输现代化示范区建设，打造更具特色的“水运盐城”，推动连申线黄响河至淮河入海水道段航道整治工程开工建设，加快推进盐泰锡常宜铁路、盐城至临沂高速公路、连申线淮河入海水道至海安界段航道整治工程、淮河入海水道二期配套通航工程盐城段、盐宝线航道整治工程盐城段、盐城南洋机场飞行区等级提升工程等项目前期工作，争取各类国家和省级资金支持。</w:t>
      </w:r>
      <w:r>
        <w:rPr>
          <w:rFonts w:hint="default" w:ascii="Times New Roman" w:hAnsi="Times New Roman" w:eastAsia="方正仿宋_GBK" w:cs="Times New Roman"/>
          <w:sz w:val="32"/>
          <w:szCs w:val="32"/>
          <w:highlight w:val="none"/>
        </w:rPr>
        <w:t>加快建设海上风电大基地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光伏发电示范基地</w:t>
      </w:r>
      <w:r>
        <w:rPr>
          <w:rFonts w:hint="default" w:ascii="Times New Roman" w:hAnsi="Times New Roman" w:eastAsia="方正仿宋_GBK" w:cs="Times New Roman"/>
          <w:sz w:val="32"/>
          <w:szCs w:val="32"/>
          <w:highlight w:val="none"/>
          <w:lang w:val="en-US" w:eastAsia="zh-CN"/>
        </w:rPr>
        <w:t>和</w:t>
      </w:r>
      <w:r>
        <w:rPr>
          <w:rFonts w:hint="default" w:ascii="Times New Roman" w:hAnsi="Times New Roman" w:eastAsia="方正仿宋_GBK" w:cs="Times New Roman"/>
          <w:sz w:val="32"/>
          <w:szCs w:val="32"/>
          <w:highlight w:val="none"/>
        </w:rPr>
        <w:t>多种可再生能源发展基地，</w:t>
      </w:r>
      <w:r>
        <w:rPr>
          <w:rFonts w:hint="eastAsia" w:ascii="Times New Roman" w:hAnsi="Times New Roman" w:eastAsia="方正仿宋_GBK" w:cs="Times New Roman"/>
          <w:sz w:val="32"/>
          <w:szCs w:val="32"/>
          <w:highlight w:val="none"/>
          <w:lang w:eastAsia="zh-CN"/>
        </w:rPr>
        <w:t>推</w:t>
      </w:r>
      <w:r>
        <w:rPr>
          <w:rFonts w:hint="eastAsia" w:ascii="Times New Roman" w:hAnsi="Times New Roman" w:eastAsia="方正仿宋_GBK" w:cs="Times New Roman"/>
          <w:sz w:val="32"/>
          <w:szCs w:val="32"/>
          <w:highlight w:val="none"/>
          <w:lang w:eastAsia="zh-CN"/>
        </w:rPr>
        <w:t>动</w:t>
      </w:r>
      <w:r>
        <w:rPr>
          <w:rFonts w:hint="eastAsia" w:ascii="Times New Roman" w:hAnsi="Times New Roman" w:eastAsia="方正仿宋_GBK" w:cs="Times New Roman"/>
          <w:sz w:val="32"/>
          <w:szCs w:val="32"/>
          <w:highlight w:val="none"/>
          <w:lang w:val="en-US" w:eastAsia="zh-CN"/>
        </w:rPr>
        <w:t>3个265万千瓦海上风电项目年内实质性开工，2024年完成能源领域投资超200亿元。</w:t>
      </w:r>
      <w:r>
        <w:rPr>
          <w:rFonts w:hint="default" w:ascii="Times New Roman" w:hAnsi="Times New Roman" w:eastAsia="方正楷体_GBK" w:cs="Times New Roman"/>
          <w:color w:val="auto"/>
          <w:sz w:val="32"/>
          <w:szCs w:val="40"/>
          <w:highlight w:val="none"/>
          <w:lang w:val="en-US" w:eastAsia="zh-CN"/>
        </w:rPr>
        <w:t>（责任单位：市交通局、市水利局、市发改委、市财政局）</w:t>
      </w:r>
    </w:p>
    <w:p w14:paraId="740F6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三、培育发展新质生产力</w:t>
      </w:r>
    </w:p>
    <w:p w14:paraId="1C82EB28">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9. 开展关键核心技术攻关。</w:t>
      </w:r>
      <w:r>
        <w:rPr>
          <w:rFonts w:hint="default" w:ascii="Times New Roman" w:hAnsi="Times New Roman" w:eastAsia="方正仿宋_GBK" w:cs="Times New Roman"/>
          <w:sz w:val="32"/>
          <w:szCs w:val="32"/>
          <w:highlight w:val="none"/>
        </w:rPr>
        <w:t>健全科技计划项目体系，市级财政每年安排不少于5000万元，重点围绕战略性新兴产业及未来产业，市县协同组织实施100项基础研究及应用基础研究项目、100项前沿技术攻关项目。健全科技项目“揭榜挂帅”常态化推进机制，到2025年</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新实施揭榜挂帅项目20项。高标准建设西伏河绿色低碳科创园，到2025年底集聚科创企业200家，产业规模突破100亿元。</w:t>
      </w:r>
      <w:r>
        <w:rPr>
          <w:rFonts w:hint="default" w:ascii="Times New Roman" w:hAnsi="Times New Roman" w:eastAsia="方正仿宋_GBK" w:cs="Times New Roman"/>
          <w:sz w:val="32"/>
          <w:szCs w:val="32"/>
          <w:highlight w:val="none"/>
          <w:lang w:val="en-US" w:eastAsia="zh-CN"/>
        </w:rPr>
        <w:t>推动</w:t>
      </w:r>
      <w:r>
        <w:rPr>
          <w:rFonts w:hint="default" w:ascii="Times New Roman" w:hAnsi="Times New Roman" w:eastAsia="方正仿宋_GBK" w:cs="Times New Roman"/>
          <w:sz w:val="32"/>
          <w:szCs w:val="32"/>
          <w:highlight w:val="none"/>
        </w:rPr>
        <w:t>江苏沿海可再生能源技术创新中心争创国家技术创新中心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支持金风科技争创全国、省重点实验室</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40"/>
          <w:highlight w:val="none"/>
          <w:lang w:val="en-US" w:eastAsia="zh-CN"/>
        </w:rPr>
        <w:t>提升国家质检中心、省质检中心检验检测水平，加强省产业计量测试中心和计量中心技术能力，到2025年，新建成省质检中心1个。</w:t>
      </w:r>
      <w:r>
        <w:rPr>
          <w:rFonts w:hint="default" w:ascii="Times New Roman" w:hAnsi="Times New Roman" w:eastAsia="方正楷体_GBK" w:cs="Times New Roman"/>
          <w:color w:val="auto"/>
          <w:sz w:val="32"/>
          <w:szCs w:val="40"/>
          <w:highlight w:val="none"/>
          <w:lang w:val="en-US" w:eastAsia="zh-CN"/>
        </w:rPr>
        <w:t>（责任</w:t>
      </w:r>
      <w:r>
        <w:rPr>
          <w:rFonts w:hint="default" w:ascii="Times New Roman" w:hAnsi="Times New Roman" w:eastAsia="方正楷体_GBK" w:cs="Times New Roman"/>
          <w:color w:val="auto"/>
          <w:sz w:val="32"/>
          <w:szCs w:val="40"/>
          <w:highlight w:val="none"/>
          <w:lang w:val="en-US" w:eastAsia="zh-CN"/>
        </w:rPr>
        <w:t>单位：市科技局、市</w:t>
      </w:r>
      <w:r>
        <w:rPr>
          <w:rFonts w:hint="default" w:ascii="Times New Roman" w:hAnsi="Times New Roman" w:eastAsia="方正楷体_GBK" w:cs="Times New Roman"/>
          <w:color w:val="auto"/>
          <w:sz w:val="32"/>
          <w:szCs w:val="40"/>
          <w:highlight w:val="none"/>
          <w:lang w:val="en-US" w:eastAsia="zh-CN"/>
        </w:rPr>
        <w:t>工信局、市市场监管局、市财政局）</w:t>
      </w:r>
    </w:p>
    <w:p w14:paraId="76B012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eastAsia" w:ascii="Times New Roman" w:hAnsi="Times New Roman" w:eastAsia="方正楷体_GBK" w:cs="Times New Roman"/>
          <w:color w:val="auto"/>
          <w:sz w:val="32"/>
          <w:szCs w:val="40"/>
          <w:highlight w:val="none"/>
          <w:lang w:val="en-US" w:eastAsia="zh-CN"/>
        </w:rPr>
        <w:t>10</w:t>
      </w:r>
      <w:r>
        <w:rPr>
          <w:rFonts w:hint="default" w:ascii="Times New Roman" w:hAnsi="Times New Roman" w:eastAsia="方正楷体_GBK" w:cs="Times New Roman"/>
          <w:color w:val="auto"/>
          <w:sz w:val="32"/>
          <w:szCs w:val="40"/>
          <w:highlight w:val="none"/>
          <w:lang w:val="en-US" w:eastAsia="zh-CN"/>
        </w:rPr>
        <w:t>. 增强企业自主创新能力。</w:t>
      </w:r>
      <w:r>
        <w:rPr>
          <w:rFonts w:hint="eastAsia" w:ascii="Times New Roman" w:hAnsi="Times New Roman" w:eastAsia="方正仿宋_GBK" w:cs="Times New Roman"/>
          <w:sz w:val="32"/>
          <w:szCs w:val="32"/>
          <w:highlight w:val="none"/>
          <w:lang w:val="en-US" w:eastAsia="zh-CN"/>
        </w:rPr>
        <w:t>建立省科技领军企业培育库，</w:t>
      </w:r>
      <w:r>
        <w:rPr>
          <w:rFonts w:hint="eastAsia" w:ascii="Times New Roman" w:hAnsi="Times New Roman" w:eastAsia="方正仿宋_GBK" w:cs="Times New Roman"/>
          <w:sz w:val="32"/>
          <w:szCs w:val="32"/>
          <w:highlight w:val="none"/>
          <w:lang w:val="en-US" w:eastAsia="zh-CN"/>
        </w:rPr>
        <w:t>支持企业创建技术创新中心、制造业创新中心、工程研究中心等省级研发平</w:t>
      </w:r>
      <w:r>
        <w:rPr>
          <w:rFonts w:hint="eastAsia" w:ascii="Times New Roman" w:hAnsi="Times New Roman" w:eastAsia="方正仿宋_GBK" w:cs="Times New Roman"/>
          <w:sz w:val="32"/>
          <w:szCs w:val="32"/>
          <w:highlight w:val="none"/>
          <w:lang w:val="en-US" w:eastAsia="zh-CN"/>
        </w:rPr>
        <w:t>台。</w:t>
      </w:r>
      <w:r>
        <w:rPr>
          <w:rFonts w:hint="default" w:ascii="Times New Roman" w:hAnsi="Times New Roman" w:eastAsia="方正仿宋_GBK" w:cs="Times New Roman"/>
          <w:sz w:val="32"/>
          <w:szCs w:val="32"/>
          <w:highlight w:val="none"/>
        </w:rPr>
        <w:t>加大高新技术企业培育力度，到2025年培育高新技术企业3000家以上。面向中小微企业开展科技成果“先使用后付费”试点。</w:t>
      </w:r>
      <w:r>
        <w:rPr>
          <w:rFonts w:hint="eastAsia" w:ascii="Times New Roman" w:hAnsi="Times New Roman" w:eastAsia="方正仿宋_GBK" w:cs="Times New Roman"/>
          <w:sz w:val="32"/>
          <w:szCs w:val="32"/>
          <w:highlight w:val="none"/>
          <w:lang w:eastAsia="zh-CN"/>
        </w:rPr>
        <w:t>扩大科技创新券覆盖范围。到</w:t>
      </w:r>
      <w:r>
        <w:rPr>
          <w:rFonts w:hint="eastAsia" w:ascii="Times New Roman" w:hAnsi="Times New Roman" w:eastAsia="方正仿宋_GBK" w:cs="Times New Roman"/>
          <w:sz w:val="32"/>
          <w:szCs w:val="32"/>
          <w:highlight w:val="none"/>
          <w:lang w:val="en-US" w:eastAsia="zh-CN"/>
        </w:rPr>
        <w:t>2025年，力争90%以上的省级科技企业孵化器设立孵化资金（基金）。</w:t>
      </w:r>
      <w:r>
        <w:rPr>
          <w:rFonts w:hint="default" w:ascii="Times New Roman" w:hAnsi="Times New Roman" w:eastAsia="方正仿宋_GBK" w:cs="Times New Roman"/>
          <w:sz w:val="32"/>
          <w:szCs w:val="32"/>
          <w:highlight w:val="none"/>
        </w:rPr>
        <w:t>实施支持科技创新专项担保计划，扩大“苏创融”再贷款规模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楷体_GBK" w:cs="Times New Roman"/>
          <w:color w:val="auto"/>
          <w:sz w:val="32"/>
          <w:szCs w:val="40"/>
          <w:highlight w:val="none"/>
          <w:lang w:val="en-US" w:eastAsia="zh-CN"/>
        </w:rPr>
        <w:t>（</w:t>
      </w:r>
      <w:r>
        <w:rPr>
          <w:rFonts w:hint="default" w:ascii="Times New Roman" w:hAnsi="Times New Roman" w:eastAsia="方正楷体_GBK" w:cs="Times New Roman"/>
          <w:color w:val="auto"/>
          <w:sz w:val="32"/>
          <w:szCs w:val="40"/>
          <w:highlight w:val="none"/>
          <w:lang w:val="en-US" w:eastAsia="zh-CN"/>
        </w:rPr>
        <w:t>责任单位：市科技局、市工信局、</w:t>
      </w:r>
      <w:r>
        <w:rPr>
          <w:rFonts w:hint="eastAsia" w:ascii="Times New Roman" w:hAnsi="Times New Roman" w:eastAsia="方正楷体_GBK" w:cs="Times New Roman"/>
          <w:color w:val="auto"/>
          <w:sz w:val="32"/>
          <w:szCs w:val="40"/>
          <w:highlight w:val="none"/>
          <w:lang w:val="en-US" w:eastAsia="zh-CN"/>
        </w:rPr>
        <w:t>市发改委、</w:t>
      </w:r>
      <w:r>
        <w:rPr>
          <w:rFonts w:hint="default" w:ascii="Times New Roman" w:hAnsi="Times New Roman" w:eastAsia="方正楷体_GBK" w:cs="Times New Roman"/>
          <w:color w:val="auto"/>
          <w:sz w:val="32"/>
          <w:szCs w:val="40"/>
          <w:highlight w:val="none"/>
          <w:lang w:val="en-US" w:eastAsia="zh-CN"/>
        </w:rPr>
        <w:t>市政府办、市财政局、人民银行盐城市分行）</w:t>
      </w:r>
    </w:p>
    <w:p w14:paraId="438DAD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1</w:t>
      </w:r>
      <w:r>
        <w:rPr>
          <w:rFonts w:hint="eastAsia" w:ascii="Times New Roman" w:hAnsi="Times New Roman" w:eastAsia="方正楷体_GBK" w:cs="Times New Roman"/>
          <w:color w:val="auto"/>
          <w:sz w:val="32"/>
          <w:szCs w:val="40"/>
          <w:highlight w:val="none"/>
          <w:lang w:val="en-US" w:eastAsia="zh-CN"/>
        </w:rPr>
        <w:t>1</w:t>
      </w:r>
      <w:r>
        <w:rPr>
          <w:rFonts w:hint="default" w:ascii="Times New Roman" w:hAnsi="Times New Roman" w:eastAsia="方正楷体_GBK" w:cs="Times New Roman"/>
          <w:color w:val="auto"/>
          <w:sz w:val="32"/>
          <w:szCs w:val="40"/>
          <w:highlight w:val="none"/>
          <w:lang w:val="en-US" w:eastAsia="zh-CN"/>
        </w:rPr>
        <w:t>. 提升先进制造业竞争力。</w:t>
      </w:r>
      <w:r>
        <w:rPr>
          <w:rFonts w:hint="default" w:ascii="Times New Roman" w:hAnsi="Times New Roman" w:eastAsia="方正仿宋_GBK" w:cs="Times New Roman"/>
          <w:color w:val="auto"/>
          <w:sz w:val="32"/>
          <w:szCs w:val="40"/>
          <w:highlight w:val="none"/>
          <w:lang w:val="en-US" w:eastAsia="zh-CN"/>
        </w:rPr>
        <w:t>推动壮大耐心资本，积极申报江苏省绿色低碳（盐城）产业专项母基金、未来产业天使基金，设立200亿元</w:t>
      </w:r>
      <w:r>
        <w:rPr>
          <w:rFonts w:hint="eastAsia" w:ascii="Times New Roman" w:hAnsi="Times New Roman" w:eastAsia="方正仿宋_GBK" w:cs="Times New Roman"/>
          <w:color w:val="auto"/>
          <w:sz w:val="32"/>
          <w:szCs w:val="40"/>
          <w:highlight w:val="none"/>
          <w:lang w:val="en-US" w:eastAsia="zh-CN"/>
        </w:rPr>
        <w:t>盐城市</w:t>
      </w:r>
      <w:r>
        <w:rPr>
          <w:rFonts w:hint="default" w:ascii="Times New Roman" w:hAnsi="Times New Roman" w:eastAsia="方正仿宋_GBK" w:cs="Times New Roman"/>
          <w:color w:val="auto"/>
          <w:sz w:val="32"/>
          <w:szCs w:val="40"/>
          <w:highlight w:val="none"/>
          <w:lang w:val="en-US" w:eastAsia="zh-CN"/>
        </w:rPr>
        <w:t>战略性新兴产业母基金，吸引耐心资本、长期资金、</w:t>
      </w:r>
      <w:r>
        <w:rPr>
          <w:rFonts w:hint="default" w:ascii="Times New Roman" w:hAnsi="Times New Roman" w:eastAsia="方正仿宋_GBK" w:cs="Times New Roman"/>
          <w:color w:val="auto"/>
          <w:sz w:val="32"/>
          <w:szCs w:val="40"/>
          <w:highlight w:val="none"/>
          <w:lang w:val="en-US" w:eastAsia="zh-CN"/>
        </w:rPr>
        <w:t>头部企业向盐城汇聚。落实省加快推动低空经济高质量发展实施意见，统筹市级财政专项资金支持低空经济领域发展，</w:t>
      </w:r>
      <w:r>
        <w:rPr>
          <w:rFonts w:hint="default" w:ascii="Times New Roman" w:hAnsi="Times New Roman" w:eastAsia="方正仿宋_GBK" w:cs="Times New Roman"/>
          <w:color w:val="auto"/>
          <w:sz w:val="32"/>
          <w:szCs w:val="40"/>
          <w:highlight w:val="none"/>
          <w:lang w:val="en-US" w:eastAsia="zh-CN"/>
        </w:rPr>
        <w:t>协调争取释放更多空域，建成市级低空飞行服务平台并与省级平台联通，实现“一网受理、一网通办”，</w:t>
      </w:r>
      <w:r>
        <w:rPr>
          <w:rFonts w:hint="eastAsia" w:ascii="Times New Roman" w:hAnsi="Times New Roman" w:eastAsia="方正仿宋_GBK" w:cs="Times New Roman"/>
          <w:color w:val="auto"/>
          <w:sz w:val="32"/>
          <w:szCs w:val="40"/>
          <w:highlight w:val="none"/>
          <w:lang w:val="en-US" w:eastAsia="zh-CN"/>
        </w:rPr>
        <w:t>实现</w:t>
      </w:r>
      <w:r>
        <w:rPr>
          <w:rFonts w:hint="default" w:ascii="Times New Roman" w:hAnsi="Times New Roman" w:eastAsia="方正仿宋_GBK" w:cs="Times New Roman"/>
          <w:color w:val="auto"/>
          <w:sz w:val="32"/>
          <w:szCs w:val="40"/>
          <w:highlight w:val="none"/>
          <w:lang w:val="en-US" w:eastAsia="zh-CN"/>
        </w:rPr>
        <w:t>全市低空空域和飞行活动全维度管理。支持新能源产业发展，</w:t>
      </w:r>
      <w:r>
        <w:rPr>
          <w:rFonts w:hint="default" w:ascii="Times New Roman" w:hAnsi="Times New Roman" w:eastAsia="方正仿宋_GBK" w:cs="Times New Roman"/>
          <w:sz w:val="32"/>
          <w:szCs w:val="32"/>
          <w:highlight w:val="none"/>
        </w:rPr>
        <w:t>推进全产业链布局和集群化发展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40"/>
          <w:highlight w:val="none"/>
          <w:lang w:val="en-US" w:eastAsia="zh-CN"/>
        </w:rPr>
        <w:t>到2025年，新能源产业规模达到2000亿元，装机容量达到2000万千瓦。</w:t>
      </w:r>
      <w:r>
        <w:rPr>
          <w:rFonts w:hint="eastAsia" w:ascii="Times New Roman" w:hAnsi="Times New Roman" w:eastAsia="方正仿宋_GBK" w:cs="Times New Roman"/>
          <w:color w:val="auto"/>
          <w:sz w:val="32"/>
          <w:szCs w:val="40"/>
          <w:highlight w:val="none"/>
          <w:lang w:val="en-US" w:eastAsia="zh-CN"/>
        </w:rPr>
        <w:t>滚动更新传统产业焕新项目库，到2024年</w:t>
      </w:r>
      <w:r>
        <w:rPr>
          <w:rFonts w:hint="default" w:ascii="Times New Roman" w:hAnsi="Times New Roman" w:eastAsia="方正仿宋_GBK" w:cs="Times New Roman"/>
          <w:color w:val="auto"/>
          <w:sz w:val="32"/>
          <w:szCs w:val="40"/>
          <w:highlight w:val="none"/>
          <w:lang w:val="en-US" w:eastAsia="zh-CN"/>
        </w:rPr>
        <w:t>引导实施老旧设备更新重点项目</w:t>
      </w:r>
      <w:r>
        <w:rPr>
          <w:rFonts w:hint="eastAsia" w:ascii="Times New Roman" w:hAnsi="Times New Roman" w:eastAsia="方正仿宋_GBK" w:cs="Times New Roman"/>
          <w:color w:val="auto"/>
          <w:sz w:val="32"/>
          <w:szCs w:val="40"/>
          <w:highlight w:val="none"/>
          <w:lang w:val="en-US" w:eastAsia="zh-CN"/>
        </w:rPr>
        <w:t>85</w:t>
      </w:r>
      <w:r>
        <w:rPr>
          <w:rFonts w:hint="default" w:ascii="Times New Roman" w:hAnsi="Times New Roman" w:eastAsia="方正仿宋_GBK" w:cs="Times New Roman"/>
          <w:color w:val="auto"/>
          <w:sz w:val="32"/>
          <w:szCs w:val="40"/>
          <w:highlight w:val="none"/>
          <w:lang w:val="en-US" w:eastAsia="zh-CN"/>
        </w:rPr>
        <w:t>个，绿色化改造重点项目</w:t>
      </w:r>
      <w:r>
        <w:rPr>
          <w:rFonts w:hint="eastAsia" w:ascii="Times New Roman" w:hAnsi="Times New Roman" w:eastAsia="方正仿宋_GBK" w:cs="Times New Roman"/>
          <w:color w:val="auto"/>
          <w:sz w:val="32"/>
          <w:szCs w:val="40"/>
          <w:highlight w:val="none"/>
          <w:lang w:val="en-US" w:eastAsia="zh-CN"/>
        </w:rPr>
        <w:t>36</w:t>
      </w:r>
      <w:r>
        <w:rPr>
          <w:rFonts w:hint="default" w:ascii="Times New Roman" w:hAnsi="Times New Roman" w:eastAsia="方正仿宋_GBK" w:cs="Times New Roman"/>
          <w:color w:val="auto"/>
          <w:sz w:val="32"/>
          <w:szCs w:val="40"/>
          <w:highlight w:val="none"/>
          <w:lang w:val="en-US" w:eastAsia="zh-CN"/>
        </w:rPr>
        <w:t>个以上。</w:t>
      </w:r>
      <w:r>
        <w:rPr>
          <w:rFonts w:hint="default" w:ascii="Times New Roman" w:hAnsi="Times New Roman" w:eastAsia="方正楷体_GBK" w:cs="Times New Roman"/>
          <w:color w:val="auto"/>
          <w:sz w:val="32"/>
          <w:szCs w:val="40"/>
          <w:highlight w:val="none"/>
          <w:lang w:val="en-US" w:eastAsia="zh-CN"/>
        </w:rPr>
        <w:t>（责任单位：市发改委、市工信局、市交通局、市自然资源和规划局、市国资委</w:t>
      </w:r>
      <w:r>
        <w:rPr>
          <w:rFonts w:hint="eastAsia" w:ascii="Times New Roman" w:hAnsi="Times New Roman" w:eastAsia="方正楷体_GBK" w:cs="Times New Roman"/>
          <w:color w:val="auto"/>
          <w:sz w:val="32"/>
          <w:szCs w:val="40"/>
          <w:highlight w:val="none"/>
          <w:lang w:val="en-US" w:eastAsia="zh-CN"/>
        </w:rPr>
        <w:t>、黄海金控集团</w:t>
      </w:r>
      <w:r>
        <w:rPr>
          <w:rFonts w:hint="default" w:ascii="Times New Roman" w:hAnsi="Times New Roman" w:eastAsia="方正楷体_GBK" w:cs="Times New Roman"/>
          <w:color w:val="auto"/>
          <w:sz w:val="32"/>
          <w:szCs w:val="40"/>
          <w:highlight w:val="none"/>
          <w:lang w:val="en-US" w:eastAsia="zh-CN"/>
        </w:rPr>
        <w:t>）</w:t>
      </w:r>
    </w:p>
    <w:p w14:paraId="45733A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1</w:t>
      </w:r>
      <w:r>
        <w:rPr>
          <w:rFonts w:hint="eastAsia" w:ascii="Times New Roman" w:hAnsi="Times New Roman" w:eastAsia="方正楷体_GBK" w:cs="Times New Roman"/>
          <w:color w:val="auto"/>
          <w:sz w:val="32"/>
          <w:szCs w:val="40"/>
          <w:highlight w:val="none"/>
          <w:lang w:val="en-US" w:eastAsia="zh-CN"/>
        </w:rPr>
        <w:t>2</w:t>
      </w:r>
      <w:r>
        <w:rPr>
          <w:rFonts w:hint="default" w:ascii="Times New Roman" w:hAnsi="Times New Roman" w:eastAsia="方正楷体_GBK" w:cs="Times New Roman"/>
          <w:color w:val="auto"/>
          <w:sz w:val="32"/>
          <w:szCs w:val="40"/>
          <w:highlight w:val="none"/>
          <w:lang w:val="en-US" w:eastAsia="zh-CN"/>
        </w:rPr>
        <w:t>. 促进生产性服务业融合发展。</w:t>
      </w:r>
      <w:r>
        <w:rPr>
          <w:rFonts w:hint="default" w:ascii="Times New Roman" w:hAnsi="Times New Roman" w:eastAsia="方正仿宋_GBK" w:cs="Times New Roman"/>
          <w:color w:val="auto"/>
          <w:sz w:val="32"/>
          <w:szCs w:val="40"/>
          <w:highlight w:val="none"/>
          <w:lang w:val="en-US" w:eastAsia="zh-CN"/>
        </w:rPr>
        <w:t>聚焦“4+3+X”重点领域推进生产性服务业高质量发展，推动先进制造业和现代服务业深度融合。引导制造业企业主辅分离，鼓励工业企业分离现代物流、金融服务、节能环保服务、检验检测等业务，设立生产性服务业独立法人企业。</w:t>
      </w:r>
      <w:r>
        <w:rPr>
          <w:rFonts w:hint="eastAsia" w:ascii="Times New Roman" w:hAnsi="Times New Roman" w:eastAsia="方正仿宋_GBK" w:cs="Times New Roman"/>
          <w:color w:val="auto"/>
          <w:sz w:val="32"/>
          <w:szCs w:val="40"/>
          <w:highlight w:val="none"/>
          <w:lang w:val="en-US" w:eastAsia="zh-CN"/>
        </w:rPr>
        <w:t>优化</w:t>
      </w:r>
      <w:r>
        <w:rPr>
          <w:rFonts w:hint="default" w:ascii="Times New Roman" w:hAnsi="Times New Roman" w:eastAsia="方正仿宋_GBK" w:cs="Times New Roman"/>
          <w:color w:val="auto"/>
          <w:sz w:val="32"/>
          <w:szCs w:val="40"/>
          <w:highlight w:val="none"/>
          <w:lang w:val="en-US" w:eastAsia="zh-CN"/>
        </w:rPr>
        <w:t>完善促进生产性服务业高质量发展的政策措施，持</w:t>
      </w:r>
      <w:r>
        <w:rPr>
          <w:rFonts w:hint="default" w:ascii="Times New Roman" w:hAnsi="Times New Roman" w:eastAsia="方正仿宋_GBK" w:cs="Times New Roman"/>
          <w:color w:val="auto"/>
          <w:sz w:val="32"/>
          <w:szCs w:val="40"/>
          <w:highlight w:val="none"/>
          <w:lang w:val="en-US" w:eastAsia="zh-CN"/>
        </w:rPr>
        <w:t>续开展服务业集聚区提档升级和综合评价，发挥服务业领军企业示范带动作用，</w:t>
      </w:r>
      <w:r>
        <w:rPr>
          <w:rFonts w:hint="eastAsia" w:ascii="Times New Roman" w:hAnsi="Times New Roman" w:eastAsia="方正仿宋_GBK" w:cs="Times New Roman"/>
          <w:color w:val="auto"/>
          <w:sz w:val="32"/>
          <w:szCs w:val="40"/>
          <w:highlight w:val="none"/>
          <w:lang w:val="en-US" w:eastAsia="zh-CN"/>
        </w:rPr>
        <w:t>到2025年，新建7家</w:t>
      </w:r>
      <w:r>
        <w:rPr>
          <w:rFonts w:hint="default" w:ascii="Times New Roman" w:hAnsi="Times New Roman" w:eastAsia="方正仿宋_GBK" w:cs="Times New Roman"/>
          <w:color w:val="auto"/>
          <w:sz w:val="32"/>
          <w:szCs w:val="40"/>
          <w:highlight w:val="none"/>
          <w:lang w:val="en-US" w:eastAsia="zh-CN"/>
        </w:rPr>
        <w:t>省级现代服务业高质量发展示范</w:t>
      </w:r>
      <w:r>
        <w:rPr>
          <w:rFonts w:hint="eastAsia" w:ascii="Times New Roman" w:hAnsi="Times New Roman" w:eastAsia="方正仿宋_GBK" w:cs="Times New Roman"/>
          <w:color w:val="auto"/>
          <w:sz w:val="32"/>
          <w:szCs w:val="40"/>
          <w:highlight w:val="none"/>
          <w:lang w:val="en-US" w:eastAsia="zh-CN"/>
        </w:rPr>
        <w:t>标杆</w:t>
      </w:r>
      <w:r>
        <w:rPr>
          <w:rFonts w:hint="default" w:ascii="Times New Roman" w:hAnsi="Times New Roman" w:eastAsia="方正仿宋_GBK" w:cs="Times New Roman"/>
          <w:color w:val="auto"/>
          <w:sz w:val="32"/>
          <w:szCs w:val="40"/>
          <w:highlight w:val="none"/>
          <w:lang w:val="en-US" w:eastAsia="zh-CN"/>
        </w:rPr>
        <w:t>单位。支持盐城大数据产业园积极争创省级软件名园。</w:t>
      </w: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lang w:val="en-US" w:eastAsia="zh-CN"/>
        </w:rPr>
        <w:t>责任单位：市发改委、市工信局</w:t>
      </w:r>
      <w:r>
        <w:rPr>
          <w:rFonts w:hint="default" w:ascii="Times New Roman" w:hAnsi="Times New Roman" w:eastAsia="方正楷体_GBK" w:cs="Times New Roman"/>
          <w:sz w:val="32"/>
          <w:szCs w:val="32"/>
          <w:highlight w:val="none"/>
          <w:lang w:eastAsia="zh-CN"/>
        </w:rPr>
        <w:t>）</w:t>
      </w:r>
    </w:p>
    <w:p w14:paraId="05544B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40"/>
          <w:highlight w:val="none"/>
          <w:lang w:val="en-US" w:eastAsia="zh-CN"/>
        </w:rPr>
      </w:pPr>
      <w:r>
        <w:rPr>
          <w:rFonts w:hint="eastAsia" w:ascii="方正楷体_GBK" w:hAnsi="方正楷体_GBK" w:eastAsia="方正楷体_GBK" w:cs="方正楷体_GBK"/>
          <w:color w:val="auto"/>
          <w:sz w:val="32"/>
          <w:szCs w:val="40"/>
          <w:highlight w:val="none"/>
          <w:lang w:val="en-US" w:eastAsia="zh-CN"/>
        </w:rPr>
        <w:t>13. 坚持绿色低碳发展。</w:t>
      </w:r>
      <w:r>
        <w:rPr>
          <w:rFonts w:hint="default" w:ascii="Times New Roman" w:hAnsi="Times New Roman" w:eastAsia="方正仿宋_GBK" w:cs="Times New Roman"/>
          <w:color w:val="auto"/>
          <w:sz w:val="32"/>
          <w:szCs w:val="40"/>
          <w:highlight w:val="none"/>
          <w:lang w:val="en-US" w:eastAsia="zh-CN"/>
        </w:rPr>
        <w:t>高标准建设射阳港、大丰港、滨海港零碳产业园，着力引进一批绿电需求型和出口导向型的绿色低碳产业项目，到2025年，3家试点园区可溯源清洁低碳新型电力系统基本建立，加快形成零碳工厂、零碳建筑、零碳交通等若干场景。加快制定产品碳标识认证规则，积极争取光伏产品碳足迹标识认证纳入国家级试点。打造“一县一品”废旧物资回收循环体系建设试点，努力在退役风电、光伏设备、废旧动力电池、汽车零部件再制造等领域为全省试点先行。加快推进能耗前30和年综合能耗5000吨标煤以上企业节能诊断</w:t>
      </w:r>
      <w:r>
        <w:rPr>
          <w:rFonts w:hint="eastAsia" w:ascii="Times New Roman" w:hAnsi="Times New Roman" w:eastAsia="方正仿宋_GBK" w:cs="Times New Roman"/>
          <w:color w:val="auto"/>
          <w:sz w:val="32"/>
          <w:szCs w:val="40"/>
          <w:highlight w:val="none"/>
          <w:lang w:val="en-US" w:eastAsia="zh-CN"/>
        </w:rPr>
        <w:t>，推动</w:t>
      </w:r>
      <w:r>
        <w:rPr>
          <w:rFonts w:hint="default" w:ascii="Times New Roman" w:hAnsi="Times New Roman" w:eastAsia="方正仿宋_GBK" w:cs="Times New Roman"/>
          <w:color w:val="auto"/>
          <w:sz w:val="32"/>
          <w:szCs w:val="40"/>
          <w:highlight w:val="none"/>
          <w:lang w:val="en-US" w:eastAsia="zh-CN"/>
        </w:rPr>
        <w:t>能效水平提升行动。优化完善能耗“双控”制度，积极探索能耗“双控”向碳排放“双控”转变盐城模式，到2025年，全市单位GDP能源消费量较2020年下降13.5%以上。</w:t>
      </w:r>
      <w:r>
        <w:rPr>
          <w:rFonts w:hint="eastAsia" w:ascii="Times New Roman" w:hAnsi="Times New Roman" w:eastAsia="方正仿宋_GBK" w:cs="Times New Roman"/>
          <w:color w:val="auto"/>
          <w:sz w:val="32"/>
          <w:szCs w:val="40"/>
          <w:highlight w:val="none"/>
          <w:lang w:val="en-US" w:eastAsia="zh-CN"/>
        </w:rPr>
        <w:t>（</w:t>
      </w:r>
      <w:r>
        <w:rPr>
          <w:rFonts w:hint="eastAsia" w:ascii="Times New Roman" w:hAnsi="Times New Roman" w:eastAsia="方正楷体_GBK" w:cs="Times New Roman"/>
          <w:sz w:val="32"/>
          <w:szCs w:val="32"/>
          <w:highlight w:val="none"/>
          <w:lang w:val="en-US" w:eastAsia="zh-CN"/>
        </w:rPr>
        <w:t>责任单位：市发改委、市工信局、市市场监管局</w:t>
      </w:r>
      <w:r>
        <w:rPr>
          <w:rFonts w:hint="eastAsia" w:ascii="Times New Roman" w:hAnsi="Times New Roman" w:eastAsia="方正仿宋_GBK" w:cs="Times New Roman"/>
          <w:color w:val="auto"/>
          <w:sz w:val="32"/>
          <w:szCs w:val="40"/>
          <w:highlight w:val="none"/>
          <w:lang w:val="en-US" w:eastAsia="zh-CN"/>
        </w:rPr>
        <w:t>）</w:t>
      </w:r>
    </w:p>
    <w:p w14:paraId="545D7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auto"/>
          <w:sz w:val="32"/>
          <w:szCs w:val="40"/>
          <w:highlight w:val="none"/>
          <w:lang w:val="en-US" w:eastAsia="zh-CN"/>
        </w:rPr>
        <w:t>1</w:t>
      </w:r>
      <w:r>
        <w:rPr>
          <w:rFonts w:hint="eastAsia" w:ascii="Times New Roman" w:hAnsi="Times New Roman" w:eastAsia="方正楷体_GBK" w:cs="Times New Roman"/>
          <w:color w:val="auto"/>
          <w:sz w:val="32"/>
          <w:szCs w:val="40"/>
          <w:highlight w:val="none"/>
          <w:lang w:val="en-US" w:eastAsia="zh-CN"/>
        </w:rPr>
        <w:t>4</w:t>
      </w:r>
      <w:r>
        <w:rPr>
          <w:rFonts w:hint="default" w:ascii="Times New Roman" w:hAnsi="Times New Roman" w:eastAsia="方正楷体_GBK" w:cs="Times New Roman"/>
          <w:color w:val="auto"/>
          <w:sz w:val="32"/>
          <w:szCs w:val="40"/>
          <w:highlight w:val="none"/>
          <w:lang w:val="en-US" w:eastAsia="zh-CN"/>
        </w:rPr>
        <w:t>. 促进</w:t>
      </w:r>
      <w:r>
        <w:rPr>
          <w:rFonts w:hint="eastAsia" w:ascii="Times New Roman" w:hAnsi="Times New Roman" w:eastAsia="方正楷体_GBK" w:cs="Times New Roman"/>
          <w:color w:val="auto"/>
          <w:sz w:val="32"/>
          <w:szCs w:val="40"/>
          <w:highlight w:val="none"/>
          <w:lang w:val="en-US" w:eastAsia="zh-CN"/>
        </w:rPr>
        <w:t>“</w:t>
      </w:r>
      <w:r>
        <w:rPr>
          <w:rFonts w:hint="default" w:ascii="Times New Roman" w:hAnsi="Times New Roman" w:eastAsia="方正楷体_GBK" w:cs="Times New Roman"/>
          <w:color w:val="auto"/>
          <w:sz w:val="32"/>
          <w:szCs w:val="40"/>
          <w:highlight w:val="none"/>
          <w:lang w:val="en-US" w:eastAsia="zh-CN"/>
        </w:rPr>
        <w:t>数实融合</w:t>
      </w:r>
      <w:r>
        <w:rPr>
          <w:rFonts w:hint="eastAsia" w:ascii="Times New Roman" w:hAnsi="Times New Roman" w:eastAsia="方正楷体_GBK" w:cs="Times New Roman"/>
          <w:color w:val="auto"/>
          <w:sz w:val="32"/>
          <w:szCs w:val="40"/>
          <w:highlight w:val="none"/>
          <w:lang w:val="en-US" w:eastAsia="zh-CN"/>
        </w:rPr>
        <w:t>”</w:t>
      </w:r>
      <w:r>
        <w:rPr>
          <w:rFonts w:hint="default" w:ascii="Times New Roman" w:hAnsi="Times New Roman" w:eastAsia="方正楷体_GBK" w:cs="Times New Roman"/>
          <w:color w:val="auto"/>
          <w:sz w:val="32"/>
          <w:szCs w:val="40"/>
          <w:highlight w:val="none"/>
          <w:lang w:val="en-US" w:eastAsia="zh-CN"/>
        </w:rPr>
        <w:t>发展。</w:t>
      </w:r>
      <w:r>
        <w:rPr>
          <w:rFonts w:hint="eastAsia" w:ascii="Times New Roman" w:hAnsi="Times New Roman" w:eastAsia="方正仿宋_GBK" w:cs="Times New Roman"/>
          <w:color w:val="auto"/>
          <w:sz w:val="32"/>
          <w:szCs w:val="40"/>
          <w:highlight w:val="none"/>
          <w:lang w:val="en-US" w:eastAsia="zh-CN"/>
        </w:rPr>
        <w:t>制定</w:t>
      </w:r>
      <w:r>
        <w:rPr>
          <w:rFonts w:hint="default" w:ascii="Times New Roman" w:hAnsi="Times New Roman" w:eastAsia="方正仿宋_GBK" w:cs="Times New Roman"/>
          <w:color w:val="auto"/>
          <w:sz w:val="32"/>
          <w:szCs w:val="40"/>
          <w:highlight w:val="none"/>
          <w:lang w:val="en-US" w:eastAsia="zh-CN"/>
        </w:rPr>
        <w:t>新一轮</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智改数转网联</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三年行动计划，重点聚焦机械、纺织、食品、建材等传统行业，打造示范标杆企业</w:t>
      </w:r>
      <w:r>
        <w:rPr>
          <w:rFonts w:hint="eastAsia" w:ascii="Times New Roman" w:hAnsi="Times New Roman" w:eastAsia="方正仿宋_GBK" w:cs="Times New Roman"/>
          <w:color w:val="auto"/>
          <w:sz w:val="32"/>
          <w:szCs w:val="40"/>
          <w:highlight w:val="none"/>
          <w:lang w:val="en-US" w:eastAsia="zh-CN"/>
        </w:rPr>
        <w:t>，2024年</w:t>
      </w:r>
      <w:r>
        <w:rPr>
          <w:rFonts w:hint="default" w:ascii="Times New Roman" w:hAnsi="Times New Roman" w:eastAsia="方正仿宋_GBK" w:cs="Times New Roman"/>
          <w:color w:val="auto"/>
          <w:sz w:val="32"/>
          <w:szCs w:val="40"/>
          <w:highlight w:val="none"/>
          <w:lang w:val="en-US" w:eastAsia="zh-CN"/>
        </w:rPr>
        <w:t>规上企业覆盖率达100%。推动企业“上云用数赋智”，</w:t>
      </w:r>
      <w:r>
        <w:rPr>
          <w:rFonts w:hint="eastAsia" w:ascii="Times New Roman" w:hAnsi="Times New Roman" w:eastAsia="方正仿宋_GBK" w:cs="Times New Roman"/>
          <w:color w:val="auto"/>
          <w:sz w:val="32"/>
          <w:szCs w:val="40"/>
          <w:highlight w:val="none"/>
          <w:lang w:val="en-US" w:eastAsia="zh-CN"/>
        </w:rPr>
        <w:t>2024年底，</w:t>
      </w:r>
      <w:r>
        <w:rPr>
          <w:rFonts w:hint="default" w:ascii="Times New Roman" w:hAnsi="Times New Roman" w:eastAsia="方正仿宋_GBK" w:cs="Times New Roman"/>
          <w:color w:val="auto"/>
          <w:sz w:val="32"/>
          <w:szCs w:val="40"/>
          <w:highlight w:val="none"/>
          <w:lang w:val="en-US" w:eastAsia="zh-CN"/>
        </w:rPr>
        <w:t>新增星级上云企业超2000家</w:t>
      </w:r>
      <w:r>
        <w:rPr>
          <w:rFonts w:hint="eastAsia" w:ascii="Times New Roman" w:hAnsi="Times New Roman" w:eastAsia="方正仿宋_GBK" w:cs="Times New Roman"/>
          <w:color w:val="auto"/>
          <w:sz w:val="32"/>
          <w:szCs w:val="40"/>
          <w:highlight w:val="none"/>
          <w:lang w:val="en-US" w:eastAsia="zh-CN"/>
        </w:rPr>
        <w:t>，实施</w:t>
      </w:r>
      <w:r>
        <w:rPr>
          <w:rFonts w:hint="default" w:ascii="Times New Roman" w:hAnsi="Times New Roman" w:eastAsia="方正仿宋_GBK" w:cs="Times New Roman"/>
          <w:color w:val="auto"/>
          <w:sz w:val="32"/>
          <w:szCs w:val="40"/>
          <w:highlight w:val="none"/>
          <w:lang w:val="en-US" w:eastAsia="zh-CN"/>
        </w:rPr>
        <w:t>“小快轻准”数字化</w:t>
      </w:r>
      <w:r>
        <w:rPr>
          <w:rFonts w:hint="eastAsia" w:ascii="Times New Roman" w:hAnsi="Times New Roman" w:eastAsia="方正仿宋_GBK" w:cs="Times New Roman"/>
          <w:color w:val="auto"/>
          <w:sz w:val="32"/>
          <w:szCs w:val="40"/>
          <w:highlight w:val="none"/>
          <w:lang w:val="en-US" w:eastAsia="zh-CN"/>
        </w:rPr>
        <w:t>改造项目2000项。</w:t>
      </w:r>
      <w:r>
        <w:rPr>
          <w:rFonts w:hint="default" w:ascii="Times New Roman" w:hAnsi="Times New Roman" w:eastAsia="方正仿宋_GBK" w:cs="Times New Roman"/>
          <w:bCs/>
          <w:color w:val="000000" w:themeColor="text1"/>
          <w:kern w:val="0"/>
          <w:sz w:val="32"/>
          <w:szCs w:val="32"/>
          <w:highlight w:val="none"/>
          <w:lang w:val="en-US" w:eastAsia="zh-CN"/>
          <w14:textFill>
            <w14:solidFill>
              <w14:schemeClr w14:val="tx1"/>
            </w14:solidFill>
          </w14:textFill>
        </w:rPr>
        <w:t>开展“数据要素X”特色应用</w:t>
      </w:r>
      <w:r>
        <w:rPr>
          <w:rFonts w:hint="default" w:ascii="Times New Roman" w:hAnsi="Times New Roman" w:eastAsia="方正仿宋_GBK" w:cs="Times New Roman"/>
          <w:bCs/>
          <w:color w:val="000000" w:themeColor="text1"/>
          <w:kern w:val="0"/>
          <w:sz w:val="32"/>
          <w:szCs w:val="32"/>
          <w:highlight w:val="none"/>
          <w14:textFill>
            <w14:solidFill>
              <w14:schemeClr w14:val="tx1"/>
            </w14:solidFill>
          </w14:textFill>
        </w:rPr>
        <w:t>场景</w:t>
      </w:r>
      <w:r>
        <w:rPr>
          <w:rFonts w:hint="default" w:ascii="Times New Roman" w:hAnsi="Times New Roman" w:eastAsia="方正仿宋_GBK" w:cs="Times New Roman"/>
          <w:bCs/>
          <w:color w:val="000000" w:themeColor="text1"/>
          <w:kern w:val="0"/>
          <w:sz w:val="32"/>
          <w:szCs w:val="32"/>
          <w:highlight w:val="none"/>
          <w:lang w:val="en-US" w:eastAsia="zh-CN"/>
          <w14:textFill>
            <w14:solidFill>
              <w14:schemeClr w14:val="tx1"/>
            </w14:solidFill>
          </w14:textFill>
        </w:rPr>
        <w:t>试点建设。</w:t>
      </w:r>
      <w:r>
        <w:rPr>
          <w:rFonts w:hint="default" w:ascii="Times New Roman" w:hAnsi="Times New Roman" w:eastAsia="方正仿宋_GBK" w:cs="Times New Roman"/>
          <w:sz w:val="32"/>
          <w:szCs w:val="32"/>
          <w:highlight w:val="none"/>
          <w:lang w:val="en-US" w:eastAsia="zh-CN"/>
        </w:rPr>
        <w:t>出台市级公共数据授权运营管理暂行办法，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编</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制发布授权运营数据目录。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台流通交易管理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暂行办法</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，完善数据流通交易规则，规范数据交易场所、交易主体和交易流程管理</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。到2024年底，公共数据授权运营和数据流通交易相关数据基础设施初步建成，</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数据资产运营服务中心常态化运转</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责任单位：市工</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信局、</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w:t>
      </w:r>
    </w:p>
    <w:p w14:paraId="26AC1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kern w:val="32"/>
          <w:sz w:val="32"/>
          <w:szCs w:val="32"/>
          <w:highlight w:val="none"/>
          <w:lang w:eastAsia="zh-CN"/>
        </w:rPr>
      </w:pPr>
      <w:r>
        <w:rPr>
          <w:rFonts w:hint="default" w:ascii="Times New Roman" w:hAnsi="Times New Roman" w:eastAsia="方正楷体_GBK" w:cs="Times New Roman"/>
          <w:color w:val="auto"/>
          <w:sz w:val="32"/>
          <w:szCs w:val="40"/>
          <w:highlight w:val="none"/>
          <w:lang w:val="en-US" w:eastAsia="zh-CN"/>
        </w:rPr>
        <w:t>1</w:t>
      </w:r>
      <w:r>
        <w:rPr>
          <w:rFonts w:hint="eastAsia" w:ascii="Times New Roman" w:hAnsi="Times New Roman" w:eastAsia="方正楷体_GBK" w:cs="Times New Roman"/>
          <w:color w:val="auto"/>
          <w:sz w:val="32"/>
          <w:szCs w:val="40"/>
          <w:highlight w:val="none"/>
          <w:lang w:val="en-US" w:eastAsia="zh-CN"/>
        </w:rPr>
        <w:t>5</w:t>
      </w:r>
      <w:r>
        <w:rPr>
          <w:rFonts w:hint="default" w:ascii="Times New Roman" w:hAnsi="Times New Roman" w:eastAsia="方正楷体_GBK" w:cs="Times New Roman"/>
          <w:color w:val="auto"/>
          <w:sz w:val="32"/>
          <w:szCs w:val="40"/>
          <w:highlight w:val="none"/>
          <w:lang w:val="en-US" w:eastAsia="zh-CN"/>
        </w:rPr>
        <w:t>. 积极推进人工智能发展。</w:t>
      </w:r>
      <w:r>
        <w:rPr>
          <w:rFonts w:hint="eastAsia" w:ascii="方正仿宋_GBK" w:hAnsi="方正仿宋_GBK" w:eastAsia="方正仿宋_GBK" w:cs="方正仿宋_GBK"/>
          <w:color w:val="auto"/>
          <w:sz w:val="32"/>
          <w:szCs w:val="40"/>
          <w:highlight w:val="none"/>
          <w:lang w:val="en-US" w:eastAsia="zh-CN"/>
        </w:rPr>
        <w:t>抢抓新一轮人工智能产业跃升发展机遇，研究出台人工智能赋能新工业化政策措施，聚焦智能算力、数据要素、行业应用、智能产品等重点领域，实施核心要素支撑、行业大模型构筑、场景应用拓展、智能产品创新、生态体系优化五大行动，全力打造东部沿海绿色算力港、长三角人工智能创新应用试验区和人工智能产品制造集聚区。</w:t>
      </w:r>
      <w:r>
        <w:rPr>
          <w:rFonts w:ascii="Times New Roman" w:hAnsi="Times New Roman" w:eastAsia="方正仿宋_GBK"/>
          <w:sz w:val="32"/>
          <w:szCs w:val="32"/>
          <w:highlight w:val="none"/>
        </w:rPr>
        <w:t>到202</w:t>
      </w:r>
      <w:r>
        <w:rPr>
          <w:rFonts w:hint="eastAsia" w:ascii="Times New Roman" w:hAnsi="Times New Roman" w:eastAsia="方正仿宋_GBK"/>
          <w:sz w:val="32"/>
          <w:szCs w:val="32"/>
          <w:highlight w:val="none"/>
          <w:lang w:val="en-US" w:eastAsia="zh-CN"/>
        </w:rPr>
        <w:t>5</w:t>
      </w:r>
      <w:r>
        <w:rPr>
          <w:rFonts w:ascii="Times New Roman" w:hAnsi="Times New Roman" w:eastAsia="方正仿宋_GBK"/>
          <w:sz w:val="32"/>
          <w:szCs w:val="32"/>
          <w:highlight w:val="none"/>
        </w:rPr>
        <w:t>年，人工智能产业规模达</w:t>
      </w:r>
      <w:r>
        <w:rPr>
          <w:rFonts w:hint="eastAsia" w:ascii="Times New Roman" w:hAnsi="Times New Roman" w:eastAsia="方正仿宋_GBK"/>
          <w:sz w:val="32"/>
          <w:szCs w:val="32"/>
          <w:highlight w:val="none"/>
          <w:lang w:val="en-US" w:eastAsia="zh-CN"/>
        </w:rPr>
        <w:t>150</w:t>
      </w:r>
      <w:r>
        <w:rPr>
          <w:rFonts w:ascii="Times New Roman" w:hAnsi="Times New Roman" w:eastAsia="方正仿宋_GBK"/>
          <w:sz w:val="32"/>
          <w:szCs w:val="32"/>
          <w:highlight w:val="none"/>
        </w:rPr>
        <w:t>亿元</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打造</w:t>
      </w:r>
      <w:r>
        <w:rPr>
          <w:rFonts w:hint="eastAsia" w:ascii="Times New Roman" w:hAnsi="Times New Roman" w:eastAsia="方正仿宋_GBK"/>
          <w:sz w:val="32"/>
          <w:szCs w:val="32"/>
          <w:highlight w:val="none"/>
          <w:lang w:val="en-US" w:eastAsia="zh-CN"/>
        </w:rPr>
        <w:t>2</w:t>
      </w:r>
      <w:r>
        <w:rPr>
          <w:rFonts w:ascii="Times New Roman" w:hAnsi="Times New Roman" w:eastAsia="方正仿宋_GBK"/>
          <w:sz w:val="32"/>
          <w:szCs w:val="32"/>
          <w:highlight w:val="none"/>
        </w:rPr>
        <w:t>个以上人工智能特色产业园区，形成</w:t>
      </w:r>
      <w:r>
        <w:rPr>
          <w:rFonts w:hint="eastAsia" w:ascii="Times New Roman" w:hAnsi="Times New Roman" w:eastAsia="方正仿宋_GBK"/>
          <w:sz w:val="32"/>
          <w:szCs w:val="32"/>
          <w:highlight w:val="none"/>
          <w:lang w:val="en-US" w:eastAsia="zh-CN"/>
        </w:rPr>
        <w:t>20</w:t>
      </w:r>
      <w:r>
        <w:rPr>
          <w:rFonts w:ascii="Times New Roman" w:hAnsi="Times New Roman" w:eastAsia="方正仿宋_GBK"/>
          <w:sz w:val="32"/>
          <w:szCs w:val="32"/>
          <w:highlight w:val="none"/>
        </w:rPr>
        <w:t>个可复制、可推广的标杆应用场景。</w:t>
      </w:r>
      <w:r>
        <w:rPr>
          <w:rFonts w:hint="default" w:ascii="Times New Roman" w:hAnsi="Times New Roman" w:eastAsia="方正仿宋_GBK" w:cs="Times New Roman"/>
          <w:kern w:val="32"/>
          <w:sz w:val="32"/>
          <w:szCs w:val="32"/>
          <w:highlight w:val="none"/>
          <w:lang w:eastAsia="zh-CN"/>
        </w:rPr>
        <w:t>（</w:t>
      </w:r>
      <w:r>
        <w:rPr>
          <w:rFonts w:hint="default" w:ascii="Times New Roman" w:hAnsi="Times New Roman" w:eastAsia="方正楷体_GBK" w:cs="Times New Roman"/>
          <w:kern w:val="32"/>
          <w:sz w:val="32"/>
          <w:szCs w:val="32"/>
          <w:highlight w:val="none"/>
          <w:lang w:val="en-US" w:eastAsia="zh-CN"/>
        </w:rPr>
        <w:t>责任单位：市工信局、市委网信办、市科技局、市数据局</w:t>
      </w:r>
      <w:r>
        <w:rPr>
          <w:rFonts w:hint="default" w:ascii="Times New Roman" w:hAnsi="Times New Roman" w:eastAsia="方正楷体_GBK" w:cs="Times New Roman"/>
          <w:kern w:val="32"/>
          <w:sz w:val="32"/>
          <w:szCs w:val="32"/>
          <w:highlight w:val="none"/>
          <w:lang w:eastAsia="zh-CN"/>
        </w:rPr>
        <w:t>）</w:t>
      </w:r>
    </w:p>
    <w:p w14:paraId="08444D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四、构建房地产发展新模式</w:t>
      </w:r>
    </w:p>
    <w:p w14:paraId="04F9794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楷体_GBK" w:cs="Times New Roman"/>
          <w:sz w:val="32"/>
          <w:highlight w:val="none"/>
          <w:lang w:eastAsia="zh-CN"/>
        </w:rPr>
      </w:pPr>
      <w:r>
        <w:rPr>
          <w:rFonts w:hint="default" w:ascii="Times New Roman" w:hAnsi="Times New Roman" w:eastAsia="方正楷体_GBK" w:cs="Times New Roman"/>
          <w:color w:val="auto"/>
          <w:sz w:val="32"/>
          <w:szCs w:val="40"/>
          <w:highlight w:val="none"/>
          <w:lang w:val="en-US" w:eastAsia="zh-CN"/>
        </w:rPr>
        <w:t>1</w:t>
      </w:r>
      <w:r>
        <w:rPr>
          <w:rFonts w:hint="eastAsia" w:ascii="Times New Roman" w:hAnsi="Times New Roman" w:eastAsia="方正楷体_GBK" w:cs="Times New Roman"/>
          <w:color w:val="auto"/>
          <w:sz w:val="32"/>
          <w:szCs w:val="40"/>
          <w:highlight w:val="none"/>
          <w:lang w:val="en-US" w:eastAsia="zh-CN"/>
        </w:rPr>
        <w:t>6</w:t>
      </w:r>
      <w:r>
        <w:rPr>
          <w:rFonts w:hint="default" w:ascii="Times New Roman" w:hAnsi="Times New Roman" w:eastAsia="方正楷体_GBK" w:cs="Times New Roman"/>
          <w:color w:val="auto"/>
          <w:sz w:val="32"/>
          <w:szCs w:val="40"/>
          <w:highlight w:val="none"/>
          <w:lang w:val="en-US" w:eastAsia="zh-CN"/>
        </w:rPr>
        <w:t>. 强化高品质住宅供给。</w:t>
      </w:r>
      <w:r>
        <w:rPr>
          <w:rFonts w:hint="default" w:ascii="Times New Roman" w:hAnsi="Times New Roman" w:eastAsia="方正仿宋_GBK" w:cs="Times New Roman"/>
          <w:kern w:val="2"/>
          <w:sz w:val="32"/>
          <w:szCs w:val="32"/>
          <w:highlight w:val="none"/>
          <w:lang w:val="en-US" w:eastAsia="zh-CN" w:bidi="ar-SA"/>
        </w:rPr>
        <w:t>研究出台盐城市改善型住宅项目开发建设及评价实施办法，</w:t>
      </w:r>
      <w:r>
        <w:rPr>
          <w:rFonts w:hint="eastAsia" w:ascii="Times New Roman" w:hAnsi="Times New Roman" w:eastAsia="方正仿宋_GBK" w:cs="Times New Roman"/>
          <w:kern w:val="2"/>
          <w:sz w:val="32"/>
          <w:szCs w:val="32"/>
          <w:highlight w:val="none"/>
          <w:lang w:val="en-US" w:eastAsia="zh-CN" w:bidi="ar-SA"/>
        </w:rPr>
        <w:t>加快建成一批</w:t>
      </w:r>
      <w:r>
        <w:rPr>
          <w:rFonts w:hint="default" w:ascii="Times New Roman" w:hAnsi="Times New Roman" w:eastAsia="方正仿宋_GBK" w:cs="Times New Roman"/>
          <w:kern w:val="2"/>
          <w:sz w:val="32"/>
          <w:szCs w:val="32"/>
          <w:highlight w:val="none"/>
          <w:lang w:val="en-US" w:eastAsia="zh-CN" w:bidi="ar-SA"/>
        </w:rPr>
        <w:t>高端化、智能化、定制化住宅</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sz w:val="32"/>
          <w:szCs w:val="32"/>
          <w:highlight w:val="none"/>
          <w:lang w:val="zh-CN"/>
        </w:rPr>
        <w:t>推广超低能耗、近零能耗建筑，探索零碳建筑建设</w:t>
      </w:r>
      <w:r>
        <w:rPr>
          <w:rFonts w:hint="eastAsia" w:ascii="Times New Roman" w:hAnsi="Times New Roman" w:eastAsia="方正仿宋_GBK" w:cs="Times New Roman"/>
          <w:sz w:val="32"/>
          <w:szCs w:val="32"/>
          <w:highlight w:val="none"/>
          <w:lang w:val="zh-CN"/>
        </w:rPr>
        <w:t>，</w:t>
      </w:r>
      <w:r>
        <w:rPr>
          <w:rFonts w:hint="default" w:ascii="Times New Roman" w:hAnsi="Times New Roman" w:eastAsia="方正仿宋_GBK" w:cs="Times New Roman"/>
          <w:sz w:val="32"/>
          <w:szCs w:val="32"/>
          <w:highlight w:val="none"/>
          <w:lang w:val="en-US" w:eastAsia="zh-CN"/>
        </w:rPr>
        <w:t>到2025年，</w:t>
      </w:r>
      <w:r>
        <w:rPr>
          <w:rFonts w:hint="default" w:ascii="Times New Roman" w:hAnsi="Times New Roman" w:eastAsia="方正仿宋_GBK" w:cs="Times New Roman"/>
          <w:sz w:val="32"/>
          <w:szCs w:val="32"/>
          <w:highlight w:val="none"/>
          <w:lang w:val="zh-CN"/>
        </w:rPr>
        <w:t>城镇绿色建筑占新建建筑比例为100%。</w:t>
      </w:r>
      <w:r>
        <w:rPr>
          <w:rFonts w:hint="default" w:ascii="Times New Roman" w:hAnsi="Times New Roman" w:eastAsia="方正仿宋_GBK" w:cs="Times New Roman"/>
          <w:sz w:val="32"/>
          <w:highlight w:val="none"/>
        </w:rPr>
        <w:t>加强政策引导，抓紧建成一批改善型住宅示范案例</w:t>
      </w:r>
      <w:r>
        <w:rPr>
          <w:rFonts w:hint="default"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eastAsia="zh-CN"/>
        </w:rPr>
        <w:t>推动</w:t>
      </w:r>
      <w:r>
        <w:rPr>
          <w:rFonts w:hint="default" w:ascii="Times New Roman" w:hAnsi="Times New Roman" w:eastAsia="方正仿宋_GBK" w:cs="Times New Roman"/>
          <w:sz w:val="32"/>
          <w:highlight w:val="none"/>
        </w:rPr>
        <w:t>悦达铂府、盐南世纪云顶轩和开发区东湖心语、东湖四季等4个第二批次试点推进项目10月底前开工建设，各</w:t>
      </w:r>
      <w:r>
        <w:rPr>
          <w:rFonts w:hint="eastAsia" w:ascii="Times New Roman" w:hAnsi="Times New Roman" w:eastAsia="方正仿宋_GBK" w:cs="Times New Roman"/>
          <w:sz w:val="32"/>
          <w:highlight w:val="none"/>
          <w:lang w:eastAsia="zh-CN"/>
        </w:rPr>
        <w:t>地</w:t>
      </w:r>
      <w:r>
        <w:rPr>
          <w:rFonts w:hint="default" w:ascii="Times New Roman" w:hAnsi="Times New Roman" w:eastAsia="方正仿宋_GBK" w:cs="Times New Roman"/>
          <w:sz w:val="32"/>
          <w:highlight w:val="none"/>
        </w:rPr>
        <w:t>12月底前</w:t>
      </w:r>
      <w:r>
        <w:rPr>
          <w:rFonts w:hint="eastAsia" w:ascii="Times New Roman" w:hAnsi="Times New Roman" w:eastAsia="方正仿宋_GBK" w:cs="Times New Roman"/>
          <w:sz w:val="32"/>
          <w:highlight w:val="none"/>
          <w:lang w:eastAsia="zh-CN"/>
        </w:rPr>
        <w:t>推出</w:t>
      </w:r>
      <w:r>
        <w:rPr>
          <w:rFonts w:hint="default" w:ascii="Times New Roman" w:hAnsi="Times New Roman" w:eastAsia="方正仿宋_GBK" w:cs="Times New Roman"/>
          <w:sz w:val="32"/>
          <w:highlight w:val="none"/>
          <w:lang w:val="en-US" w:eastAsia="zh-CN"/>
        </w:rPr>
        <w:t>1</w:t>
      </w:r>
      <w:r>
        <w:rPr>
          <w:rFonts w:hint="default" w:ascii="Times New Roman" w:hAnsi="Times New Roman" w:eastAsia="方正仿宋_GBK" w:cs="Times New Roman"/>
          <w:sz w:val="32"/>
          <w:highlight w:val="none"/>
        </w:rPr>
        <w:t>个改善型项目建设</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出让</w:t>
      </w:r>
      <w:r>
        <w:rPr>
          <w:rFonts w:hint="default" w:ascii="Times New Roman" w:hAnsi="Times New Roman" w:eastAsia="方正仿宋_GBK" w:cs="Times New Roman"/>
          <w:sz w:val="32"/>
          <w:highlight w:val="none"/>
          <w:lang w:val="en-US" w:eastAsia="zh-CN"/>
        </w:rPr>
        <w:t>1</w:t>
      </w:r>
      <w:r>
        <w:rPr>
          <w:rFonts w:hint="default" w:ascii="Times New Roman" w:hAnsi="Times New Roman" w:eastAsia="方正仿宋_GBK" w:cs="Times New Roman"/>
          <w:sz w:val="32"/>
          <w:highlight w:val="none"/>
        </w:rPr>
        <w:t>块“小而美”地块。</w:t>
      </w:r>
      <w:r>
        <w:rPr>
          <w:rFonts w:hint="default" w:ascii="Times New Roman" w:hAnsi="Times New Roman" w:eastAsia="方正仿宋_GBK" w:cs="Times New Roman"/>
          <w:b w:val="0"/>
          <w:bCs w:val="0"/>
          <w:sz w:val="32"/>
          <w:szCs w:val="32"/>
          <w:highlight w:val="none"/>
          <w:lang w:val="en-US" w:eastAsia="zh-CN"/>
        </w:rPr>
        <w:t>统筹“市场+保障”住宅用地供应安排，按照“</w:t>
      </w:r>
      <w:r>
        <w:rPr>
          <w:rFonts w:hint="eastAsia" w:ascii="Times New Roman" w:hAnsi="Times New Roman" w:eastAsia="方正仿宋_GBK" w:cs="Times New Roman"/>
          <w:b w:val="0"/>
          <w:bCs w:val="0"/>
          <w:sz w:val="32"/>
          <w:szCs w:val="32"/>
          <w:highlight w:val="none"/>
          <w:lang w:val="en-US" w:eastAsia="zh-CN"/>
        </w:rPr>
        <w:t>以房定地</w:t>
      </w:r>
      <w:r>
        <w:rPr>
          <w:rFonts w:hint="default" w:ascii="Times New Roman" w:hAnsi="Times New Roman" w:eastAsia="方正仿宋_GBK" w:cs="Times New Roman"/>
          <w:b w:val="0"/>
          <w:bCs w:val="0"/>
          <w:sz w:val="32"/>
          <w:szCs w:val="32"/>
          <w:highlight w:val="none"/>
          <w:lang w:val="en-US" w:eastAsia="zh-CN"/>
        </w:rPr>
        <w:t>”的原则，动态确定新出让商品住宅用地面积上限。</w:t>
      </w:r>
      <w:r>
        <w:rPr>
          <w:rFonts w:hint="default" w:ascii="Times New Roman" w:hAnsi="Times New Roman" w:eastAsia="方正楷体_GBK" w:cs="Times New Roman"/>
          <w:sz w:val="32"/>
          <w:highlight w:val="none"/>
          <w:lang w:eastAsia="zh-CN"/>
        </w:rPr>
        <w:t>（</w:t>
      </w:r>
      <w:r>
        <w:rPr>
          <w:rFonts w:hint="default" w:ascii="Times New Roman" w:hAnsi="Times New Roman" w:eastAsia="方正楷体_GBK" w:cs="Times New Roman"/>
          <w:sz w:val="32"/>
          <w:highlight w:val="none"/>
          <w:lang w:val="en-US" w:eastAsia="zh-CN"/>
        </w:rPr>
        <w:t>责任单位：市住建局、市自然资源和规划局</w:t>
      </w:r>
      <w:r>
        <w:rPr>
          <w:rFonts w:hint="default" w:ascii="Times New Roman" w:hAnsi="Times New Roman" w:eastAsia="方正楷体_GBK" w:cs="Times New Roman"/>
          <w:sz w:val="32"/>
          <w:highlight w:val="none"/>
          <w:lang w:eastAsia="zh-CN"/>
        </w:rPr>
        <w:t>）</w:t>
      </w:r>
    </w:p>
    <w:p w14:paraId="62CCC923">
      <w:pPr>
        <w:pStyle w:val="8"/>
        <w:keepNext w:val="0"/>
        <w:keepLines w:val="0"/>
        <w:pageBreakBefore w:val="0"/>
        <w:widowControl w:val="0"/>
        <w:kinsoku/>
        <w:wordWrap/>
        <w:overflowPunct/>
        <w:topLinePunct w:val="0"/>
        <w:autoSpaceDE/>
        <w:autoSpaceDN/>
        <w:bidi w:val="0"/>
        <w:spacing w:after="0" w:line="560" w:lineRule="exact"/>
        <w:ind w:left="0" w:leftChars="0" w:firstLine="643"/>
        <w:textAlignment w:val="auto"/>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color w:val="auto"/>
          <w:sz w:val="32"/>
          <w:szCs w:val="40"/>
          <w:highlight w:val="none"/>
          <w:lang w:val="en-US" w:eastAsia="zh-CN"/>
        </w:rPr>
        <w:t>1</w:t>
      </w:r>
      <w:r>
        <w:rPr>
          <w:rFonts w:hint="eastAsia" w:ascii="Times New Roman" w:hAnsi="Times New Roman" w:eastAsia="方正楷体_GBK" w:cs="Times New Roman"/>
          <w:color w:val="auto"/>
          <w:sz w:val="32"/>
          <w:szCs w:val="40"/>
          <w:highlight w:val="none"/>
          <w:lang w:val="en-US" w:eastAsia="zh-CN"/>
        </w:rPr>
        <w:t>7</w:t>
      </w:r>
      <w:r>
        <w:rPr>
          <w:rFonts w:hint="default" w:ascii="Times New Roman" w:hAnsi="Times New Roman" w:eastAsia="方正楷体_GBK" w:cs="Times New Roman"/>
          <w:color w:val="auto"/>
          <w:sz w:val="32"/>
          <w:szCs w:val="40"/>
          <w:highlight w:val="none"/>
          <w:lang w:val="en-US" w:eastAsia="zh-CN"/>
        </w:rPr>
        <w:t>. 积极盘活存量房源。</w:t>
      </w:r>
      <w:r>
        <w:rPr>
          <w:rFonts w:hint="default" w:ascii="Times New Roman" w:hAnsi="Times New Roman" w:eastAsia="方正仿宋_GBK" w:cs="Times New Roman"/>
          <w:bCs/>
          <w:sz w:val="32"/>
          <w:szCs w:val="32"/>
          <w:highlight w:val="none"/>
        </w:rPr>
        <w:t>深入摸排需求，</w:t>
      </w:r>
      <w:r>
        <w:rPr>
          <w:rFonts w:hint="default" w:ascii="Times New Roman" w:hAnsi="Times New Roman" w:eastAsia="方正仿宋_GBK" w:cs="Times New Roman"/>
          <w:sz w:val="32"/>
          <w:szCs w:val="32"/>
          <w:highlight w:val="none"/>
        </w:rPr>
        <w:t>适时开展我市收购存量商品</w:t>
      </w:r>
      <w:r>
        <w:rPr>
          <w:rFonts w:hint="default" w:ascii="Times New Roman" w:hAnsi="Times New Roman" w:eastAsia="方正仿宋_GBK" w:cs="Times New Roman"/>
          <w:sz w:val="32"/>
          <w:szCs w:val="32"/>
          <w:highlight w:val="none"/>
        </w:rPr>
        <w:t>房用于保障性住房工作</w:t>
      </w:r>
      <w:r>
        <w:rPr>
          <w:rFonts w:hint="default" w:ascii="Times New Roman" w:hAnsi="Times New Roman" w:eastAsia="方正仿宋_GBK" w:cs="Times New Roman"/>
          <w:bCs/>
          <w:snapToGrid w:val="0"/>
          <w:sz w:val="32"/>
          <w:szCs w:val="32"/>
          <w:highlight w:val="none"/>
        </w:rPr>
        <w:t>。</w:t>
      </w:r>
      <w:r>
        <w:rPr>
          <w:rFonts w:hint="default" w:ascii="Times New Roman" w:hAnsi="Times New Roman" w:eastAsia="方正仿宋_GBK" w:cs="Times New Roman"/>
          <w:sz w:val="32"/>
          <w:szCs w:val="32"/>
          <w:highlight w:val="none"/>
        </w:rPr>
        <w:t>统筹用好购房补贴、税费减免、降低利率等支持政策，降低购房成本，减少交易成本，带动更多改善性需求。</w:t>
      </w:r>
      <w:r>
        <w:rPr>
          <w:rFonts w:hint="default" w:ascii="Times New Roman" w:hAnsi="Times New Roman" w:eastAsia="方正仿宋_GBK" w:cs="Times New Roman"/>
          <w:sz w:val="32"/>
          <w:highlight w:val="none"/>
        </w:rPr>
        <w:t>用足用好国家、省消费政策红利，鼓励有条件的地区加快开展“住房+汽车”“住房+家电”联动销售。整合房企、财政、金融机构、国有平台等</w:t>
      </w:r>
      <w:r>
        <w:rPr>
          <w:rFonts w:hint="default" w:ascii="Times New Roman" w:hAnsi="Times New Roman" w:eastAsia="方正仿宋_GBK" w:cs="Times New Roman"/>
          <w:sz w:val="32"/>
          <w:highlight w:val="none"/>
          <w:lang w:val="en-US" w:eastAsia="zh-CN"/>
        </w:rPr>
        <w:t>资源</w:t>
      </w:r>
      <w:r>
        <w:rPr>
          <w:rFonts w:hint="default" w:ascii="Times New Roman" w:hAnsi="Times New Roman" w:eastAsia="方正仿宋_GBK" w:cs="Times New Roman"/>
          <w:sz w:val="32"/>
          <w:highlight w:val="none"/>
        </w:rPr>
        <w:t>，强化市县联动，加强政</w:t>
      </w:r>
      <w:r>
        <w:rPr>
          <w:rFonts w:hint="default" w:ascii="Times New Roman" w:hAnsi="Times New Roman" w:eastAsia="方正仿宋_GBK" w:cs="Times New Roman"/>
          <w:sz w:val="32"/>
          <w:highlight w:val="none"/>
        </w:rPr>
        <w:t>企对接，</w:t>
      </w:r>
      <w:r>
        <w:rPr>
          <w:rFonts w:hint="default" w:ascii="Times New Roman" w:hAnsi="Times New Roman" w:eastAsia="方正仿宋_GBK" w:cs="Times New Roman"/>
          <w:bCs/>
          <w:kern w:val="32"/>
          <w:sz w:val="32"/>
          <w:szCs w:val="32"/>
          <w:highlight w:val="none"/>
        </w:rPr>
        <w:t>全面推广使用“房票”和换新购</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sz w:val="32"/>
          <w:szCs w:val="32"/>
          <w:highlight w:val="none"/>
        </w:rPr>
        <w:t>放开区域条件限制，拓宽房票使用范围，将房屋征收未安置、人才购、以旧换新和解危置换等人群纳入房票</w:t>
      </w:r>
      <w:r>
        <w:rPr>
          <w:rFonts w:hint="default" w:ascii="Times New Roman" w:hAnsi="Times New Roman" w:eastAsia="方正仿宋_GBK" w:cs="Times New Roman"/>
          <w:sz w:val="32"/>
          <w:szCs w:val="32"/>
          <w:highlight w:val="none"/>
          <w:lang w:eastAsia="zh-CN"/>
        </w:rPr>
        <w:t>适用范围</w:t>
      </w:r>
      <w:r>
        <w:rPr>
          <w:rFonts w:hint="default" w:ascii="Times New Roman" w:hAnsi="Times New Roman" w:eastAsia="方正仿宋_GBK" w:cs="Times New Roman"/>
          <w:sz w:val="32"/>
          <w:szCs w:val="32"/>
          <w:highlight w:val="none"/>
        </w:rPr>
        <w:t>。探索利用第三方租赁公司统一实施住房以旧换新，做到以需定购、按需回购。落实房地产信贷新政，引导个人住房贷款利率合理下行。</w:t>
      </w: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lang w:val="en-US" w:eastAsia="zh-CN"/>
        </w:rPr>
        <w:t>责任单位：市住建局、市自然资源和规划局、人民银行盐城市分行</w:t>
      </w:r>
      <w:r>
        <w:rPr>
          <w:rFonts w:hint="default" w:ascii="Times New Roman" w:hAnsi="Times New Roman" w:eastAsia="方正楷体_GBK" w:cs="Times New Roman"/>
          <w:sz w:val="32"/>
          <w:szCs w:val="32"/>
          <w:highlight w:val="none"/>
          <w:lang w:eastAsia="zh-CN"/>
        </w:rPr>
        <w:t>）</w:t>
      </w:r>
    </w:p>
    <w:p w14:paraId="643D7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18. 优化住房公积金使用政策。</w:t>
      </w:r>
      <w:r>
        <w:rPr>
          <w:rFonts w:hint="default" w:ascii="Times New Roman" w:hAnsi="Times New Roman" w:eastAsia="方正仿宋_GBK" w:cs="Times New Roman"/>
          <w:sz w:val="32"/>
          <w:szCs w:val="32"/>
          <w:highlight w:val="none"/>
        </w:rPr>
        <w:t>支持职工提取住房公积金用于自住住房电梯新建和更新改造，政策支持范围扩大到本人及配偶双方父母自住住房电梯更新。在主城区（亭湖、盐都、盐南、开发区）购建自住住房的，符合条件</w:t>
      </w:r>
      <w:r>
        <w:rPr>
          <w:rFonts w:hint="eastAsia" w:ascii="Times New Roman" w:hAnsi="Times New Roman" w:eastAsia="方正仿宋_GBK" w:cs="Times New Roman"/>
          <w:sz w:val="32"/>
          <w:szCs w:val="32"/>
          <w:highlight w:val="none"/>
          <w:lang w:eastAsia="zh-CN"/>
        </w:rPr>
        <w:t>的家庭，</w:t>
      </w:r>
      <w:r>
        <w:rPr>
          <w:rFonts w:hint="default" w:ascii="Times New Roman" w:hAnsi="Times New Roman" w:eastAsia="方正仿宋_GBK" w:cs="Times New Roman"/>
          <w:sz w:val="32"/>
          <w:szCs w:val="32"/>
          <w:highlight w:val="none"/>
        </w:rPr>
        <w:t>最高</w:t>
      </w:r>
      <w:r>
        <w:rPr>
          <w:rFonts w:hint="eastAsia" w:ascii="Times New Roman" w:hAnsi="Times New Roman" w:eastAsia="方正仿宋_GBK" w:cs="Times New Roman"/>
          <w:sz w:val="32"/>
          <w:szCs w:val="32"/>
          <w:highlight w:val="none"/>
          <w:lang w:eastAsia="zh-CN"/>
        </w:rPr>
        <w:t>可贷</w:t>
      </w:r>
      <w:r>
        <w:rPr>
          <w:rFonts w:hint="default" w:ascii="Times New Roman" w:hAnsi="Times New Roman" w:eastAsia="方正仿宋_GBK" w:cs="Times New Roman"/>
          <w:sz w:val="32"/>
          <w:szCs w:val="32"/>
          <w:highlight w:val="none"/>
        </w:rPr>
        <w:t>120万元；个人最高</w:t>
      </w:r>
      <w:r>
        <w:rPr>
          <w:rFonts w:hint="eastAsia" w:ascii="Times New Roman" w:hAnsi="Times New Roman" w:eastAsia="方正仿宋_GBK" w:cs="Times New Roman"/>
          <w:sz w:val="32"/>
          <w:szCs w:val="32"/>
          <w:highlight w:val="none"/>
          <w:lang w:eastAsia="zh-CN"/>
        </w:rPr>
        <w:t>可贷</w:t>
      </w:r>
      <w:r>
        <w:rPr>
          <w:rFonts w:hint="default" w:ascii="Times New Roman" w:hAnsi="Times New Roman" w:eastAsia="方正仿宋_GBK" w:cs="Times New Roman"/>
          <w:sz w:val="32"/>
          <w:szCs w:val="32"/>
          <w:highlight w:val="none"/>
        </w:rPr>
        <w:t>80万元。在各县（市、区）购建自住住房的，符合条件的家庭，</w:t>
      </w:r>
      <w:r>
        <w:rPr>
          <w:rFonts w:hint="eastAsia" w:ascii="Times New Roman" w:hAnsi="Times New Roman" w:eastAsia="方正仿宋_GBK" w:cs="Times New Roman"/>
          <w:sz w:val="32"/>
          <w:szCs w:val="32"/>
          <w:highlight w:val="none"/>
          <w:lang w:eastAsia="zh-CN"/>
        </w:rPr>
        <w:t>最高可贷</w:t>
      </w:r>
      <w:r>
        <w:rPr>
          <w:rFonts w:hint="default" w:ascii="Times New Roman" w:hAnsi="Times New Roman" w:eastAsia="方正仿宋_GBK" w:cs="Times New Roman"/>
          <w:sz w:val="32"/>
          <w:szCs w:val="32"/>
          <w:highlight w:val="none"/>
        </w:rPr>
        <w:t>90万元；个人</w:t>
      </w:r>
      <w:r>
        <w:rPr>
          <w:rFonts w:hint="eastAsia" w:ascii="Times New Roman" w:hAnsi="Times New Roman" w:eastAsia="方正仿宋_GBK" w:cs="Times New Roman"/>
          <w:sz w:val="32"/>
          <w:szCs w:val="32"/>
          <w:highlight w:val="none"/>
          <w:lang w:eastAsia="zh-CN"/>
        </w:rPr>
        <w:t>最高可贷</w:t>
      </w:r>
      <w:r>
        <w:rPr>
          <w:rFonts w:hint="default" w:ascii="Times New Roman" w:hAnsi="Times New Roman" w:eastAsia="方正仿宋_GBK" w:cs="Times New Roman"/>
          <w:sz w:val="32"/>
          <w:szCs w:val="32"/>
          <w:highlight w:val="none"/>
        </w:rPr>
        <w:t>60万元。首次申请住房公积金贷款购买本市住房的，最低首付款比例为15%。缴存人家庭使用住房公积金贷款购买改善型住宅（新建商品住房）、绿色建筑（新建商品住房）的，其住房公积金贷款最高额度上浮20%。符合我市住房公积金贷款条件的缴存人，参与我市存量住房“以旧换新”活动的，住房公积金贷款最高额度上浮20%。按照租购并举原则，支持缴存职工先租后购解决住房问题，低于正常缴存比例的缴存职工或灵活就业人员，近一年内租房提取金额可与其个人账户余额合并计算贷款额度。</w:t>
      </w:r>
      <w:r>
        <w:rPr>
          <w:rFonts w:hint="default" w:ascii="Times New Roman" w:hAnsi="Times New Roman" w:eastAsia="方正楷体_GBK" w:cs="Times New Roman"/>
          <w:color w:val="auto"/>
          <w:sz w:val="32"/>
          <w:szCs w:val="40"/>
          <w:highlight w:val="none"/>
          <w:lang w:val="en-US" w:eastAsia="zh-CN"/>
        </w:rPr>
        <w:t>（责任单位：市公积金管理中心）</w:t>
      </w:r>
    </w:p>
    <w:p w14:paraId="7C161B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五、支持民营经济发展壮大</w:t>
      </w:r>
    </w:p>
    <w:p w14:paraId="4E91CF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40"/>
          <w:highlight w:val="none"/>
          <w:lang w:val="en-US" w:eastAsia="zh-CN"/>
        </w:rPr>
      </w:pPr>
      <w:r>
        <w:rPr>
          <w:rFonts w:hint="eastAsia" w:ascii="Times New Roman" w:hAnsi="Times New Roman" w:eastAsia="方正楷体_GBK" w:cs="Times New Roman"/>
          <w:color w:val="auto"/>
          <w:sz w:val="32"/>
          <w:szCs w:val="40"/>
          <w:highlight w:val="none"/>
          <w:lang w:val="en-US" w:eastAsia="zh-CN"/>
        </w:rPr>
        <w:t>19</w:t>
      </w:r>
      <w:r>
        <w:rPr>
          <w:rFonts w:hint="default" w:ascii="Times New Roman" w:hAnsi="Times New Roman" w:eastAsia="方正楷体_GBK" w:cs="Times New Roman"/>
          <w:color w:val="auto"/>
          <w:sz w:val="32"/>
          <w:szCs w:val="40"/>
          <w:highlight w:val="none"/>
          <w:lang w:val="en-US" w:eastAsia="zh-CN"/>
        </w:rPr>
        <w:t>. 深化推进营商环境集成改革。</w:t>
      </w:r>
      <w:r>
        <w:rPr>
          <w:rFonts w:hint="default" w:ascii="Times New Roman" w:hAnsi="Times New Roman" w:eastAsia="方正仿宋_GBK" w:cs="Times New Roman"/>
          <w:color w:val="auto"/>
          <w:sz w:val="32"/>
          <w:szCs w:val="40"/>
          <w:highlight w:val="none"/>
          <w:lang w:val="en-US" w:eastAsia="zh-CN"/>
        </w:rPr>
        <w:t>强化集成服务和改革创新，对标世行新一轮营商环境评价体系和国内最高标准，</w:t>
      </w:r>
      <w:r>
        <w:rPr>
          <w:rFonts w:hint="eastAsia" w:ascii="Times New Roman" w:hAnsi="Times New Roman" w:eastAsia="方正仿宋_GBK" w:cs="Times New Roman"/>
          <w:color w:val="auto"/>
          <w:sz w:val="32"/>
          <w:szCs w:val="40"/>
          <w:highlight w:val="none"/>
          <w:lang w:val="en-US" w:eastAsia="zh-CN"/>
        </w:rPr>
        <w:t>出台年度营商环境年度任务清单</w:t>
      </w:r>
      <w:r>
        <w:rPr>
          <w:rFonts w:hint="default" w:ascii="Times New Roman" w:hAnsi="Times New Roman" w:eastAsia="方正仿宋_GBK" w:cs="Times New Roman"/>
          <w:color w:val="auto"/>
          <w:sz w:val="32"/>
          <w:szCs w:val="40"/>
          <w:highlight w:val="none"/>
          <w:lang w:val="en-US" w:eastAsia="zh-CN"/>
        </w:rPr>
        <w:t>。持续推进政策、市场、政务、法治、人文“五个环境”建设，深入实施提升经营主体满意度专项攻坚行动，全面提升满意度评价，进一步放大“盐诚办”营商服务品牌效能</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建立民营企业“亲清政商直通车”机制，常态化开展与民营企业沟通交流，举办“民营企业家茶叙会”，建立重点跟踪民营企业库</w:t>
      </w:r>
      <w:r>
        <w:rPr>
          <w:rFonts w:hint="eastAsia" w:ascii="Times New Roman" w:hAnsi="Times New Roman" w:eastAsia="方正仿宋_GBK" w:cs="Times New Roman"/>
          <w:color w:val="auto"/>
          <w:sz w:val="32"/>
          <w:szCs w:val="40"/>
          <w:highlight w:val="none"/>
          <w:lang w:val="en-US" w:eastAsia="zh-CN"/>
        </w:rPr>
        <w:t>，推动民营经济发展壮大</w:t>
      </w:r>
      <w:r>
        <w:rPr>
          <w:rFonts w:hint="default" w:ascii="Times New Roman" w:hAnsi="Times New Roman" w:eastAsia="方正仿宋_GBK" w:cs="Times New Roman"/>
          <w:color w:val="auto"/>
          <w:sz w:val="32"/>
          <w:szCs w:val="40"/>
          <w:highlight w:val="none"/>
          <w:lang w:val="en-US" w:eastAsia="zh-CN"/>
        </w:rPr>
        <w:t>。</w:t>
      </w:r>
      <w:r>
        <w:rPr>
          <w:rFonts w:hint="eastAsia" w:ascii="方正楷体_GBK" w:hAnsi="方正楷体_GBK" w:eastAsia="方正楷体_GBK" w:cs="方正楷体_GBK"/>
          <w:color w:val="auto"/>
          <w:sz w:val="32"/>
          <w:szCs w:val="40"/>
          <w:highlight w:val="none"/>
          <w:lang w:val="en-US" w:eastAsia="zh-CN"/>
        </w:rPr>
        <w:t>（责任单位：市发改委、市数据局、市工商联、市政府办、市司法局、市财政局、市工信局等部门）</w:t>
      </w:r>
    </w:p>
    <w:p w14:paraId="50E7BA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eastAsia" w:ascii="Times New Roman" w:hAnsi="Times New Roman" w:eastAsia="方正楷体_GBK" w:cs="Times New Roman"/>
          <w:color w:val="auto"/>
          <w:sz w:val="32"/>
          <w:szCs w:val="40"/>
          <w:highlight w:val="none"/>
          <w:lang w:val="en-US" w:eastAsia="zh-CN"/>
        </w:rPr>
        <w:t xml:space="preserve">20. </w:t>
      </w:r>
      <w:r>
        <w:rPr>
          <w:rFonts w:hint="default" w:ascii="Times New Roman" w:hAnsi="Times New Roman" w:eastAsia="方正楷体_GBK" w:cs="Times New Roman"/>
          <w:color w:val="auto"/>
          <w:sz w:val="32"/>
          <w:szCs w:val="40"/>
          <w:highlight w:val="none"/>
          <w:lang w:val="en-US" w:eastAsia="zh-CN"/>
        </w:rPr>
        <w:t>优化民营企业市场环境。</w:t>
      </w:r>
      <w:r>
        <w:rPr>
          <w:rFonts w:hint="default" w:ascii="Times New Roman" w:hAnsi="Times New Roman" w:eastAsia="方正仿宋_GBK" w:cs="Times New Roman"/>
          <w:color w:val="auto"/>
          <w:sz w:val="32"/>
          <w:szCs w:val="40"/>
          <w:highlight w:val="none"/>
          <w:lang w:val="en-US" w:eastAsia="zh-CN"/>
        </w:rPr>
        <w:t>落实政府采购项目面向中小企业（含中小民营企业）预留份额的政策措施，力争年度政府采购授予中小企业合同金额占比达80%。支持通过预留采购项目、预留专门采购包、要求以联合体形式参加、合同分包等方式进行预留份额。对采购限额标准以上、400万元以下的政府采购项目，适宜由中小企业提供的，预留份额100%。健全市属企业应付账款清收工作机制，坚持“一事一策”，督促企业制定行之有效的清欠方案，有序推进清理拖欠账款工作。</w:t>
      </w:r>
      <w:r>
        <w:rPr>
          <w:rFonts w:hint="default" w:ascii="Times New Roman" w:hAnsi="Times New Roman" w:eastAsia="方正楷体_GBK" w:cs="Times New Roman"/>
          <w:color w:val="auto"/>
          <w:sz w:val="32"/>
          <w:szCs w:val="40"/>
          <w:highlight w:val="none"/>
          <w:lang w:val="en-US" w:eastAsia="zh-CN"/>
        </w:rPr>
        <w:t>（责任单位：市发改委、市工信局、市财政局、市国资委）</w:t>
      </w:r>
    </w:p>
    <w:p w14:paraId="14BC6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highlight w:val="none"/>
          <w:lang w:val="en-US" w:eastAsia="zh-CN"/>
        </w:rPr>
      </w:pPr>
      <w:r>
        <w:rPr>
          <w:rFonts w:hint="eastAsia" w:ascii="Times New Roman" w:hAnsi="Times New Roman" w:eastAsia="方正楷体_GBK" w:cs="Times New Roman"/>
          <w:color w:val="auto"/>
          <w:sz w:val="32"/>
          <w:szCs w:val="40"/>
          <w:highlight w:val="none"/>
          <w:lang w:val="en-US" w:eastAsia="zh-CN"/>
        </w:rPr>
        <w:t>21</w:t>
      </w:r>
      <w:r>
        <w:rPr>
          <w:rFonts w:hint="default" w:ascii="Times New Roman" w:hAnsi="Times New Roman" w:eastAsia="方正楷体_GBK" w:cs="Times New Roman"/>
          <w:color w:val="auto"/>
          <w:sz w:val="32"/>
          <w:szCs w:val="40"/>
          <w:highlight w:val="none"/>
          <w:lang w:val="en-US" w:eastAsia="zh-CN"/>
        </w:rPr>
        <w:t>. 鼓励和引导民间投资健康发展。</w:t>
      </w:r>
      <w:r>
        <w:rPr>
          <w:rFonts w:hint="default" w:ascii="Times New Roman" w:hAnsi="Times New Roman" w:eastAsia="方正仿宋_GBK" w:cs="Times New Roman"/>
          <w:sz w:val="32"/>
          <w:szCs w:val="32"/>
          <w:highlight w:val="none"/>
          <w:lang w:val="en-US" w:eastAsia="zh-CN"/>
        </w:rPr>
        <w:t>充分发挥市场机制作用，落实“非禁即入”要求，推动基础设施、能源、公共服务、园区建设等重点领域向经营主体公平开放。支持民营企业加强关键核心技术攻关和重大科技成果转化。谋划推进年度民间投资重大项目建设，力争更多项</w:t>
      </w:r>
      <w:r>
        <w:rPr>
          <w:rFonts w:hint="default" w:ascii="Times New Roman" w:hAnsi="Times New Roman" w:eastAsia="方正仿宋_GBK" w:cs="Times New Roman"/>
          <w:sz w:val="32"/>
          <w:szCs w:val="32"/>
          <w:highlight w:val="none"/>
          <w:lang w:val="en-US" w:eastAsia="zh-CN"/>
        </w:rPr>
        <w:t>目纳入省、市重大项目清单，确保民间投资占比保持在70%以上。完善民营企业参与重大项目建设长效机制，用好民间资本推介项目平台，</w:t>
      </w:r>
      <w:r>
        <w:rPr>
          <w:rFonts w:hint="default" w:ascii="Times New Roman" w:hAnsi="Times New Roman" w:eastAsia="方正仿宋_GBK" w:cs="Times New Roman"/>
          <w:color w:val="auto"/>
          <w:sz w:val="32"/>
          <w:szCs w:val="40"/>
          <w:highlight w:val="none"/>
          <w:lang w:val="en-US" w:eastAsia="zh-CN"/>
        </w:rPr>
        <w:t>支持民营企业参与“两重”“两新”等国家重大政策实施，</w:t>
      </w:r>
      <w:r>
        <w:rPr>
          <w:rFonts w:hint="default" w:ascii="Times New Roman" w:hAnsi="Times New Roman" w:eastAsia="方正仿宋_GBK" w:cs="Times New Roman"/>
          <w:sz w:val="32"/>
          <w:szCs w:val="32"/>
          <w:highlight w:val="none"/>
          <w:lang w:val="en-US" w:eastAsia="zh-CN"/>
        </w:rPr>
        <w:t>建立</w:t>
      </w:r>
      <w:r>
        <w:rPr>
          <w:rFonts w:hint="default" w:ascii="Times New Roman" w:hAnsi="Times New Roman" w:eastAsia="方正仿宋_GBK" w:cs="Times New Roman"/>
          <w:sz w:val="32"/>
          <w:szCs w:val="32"/>
          <w:highlight w:val="none"/>
          <w:lang w:val="en-US" w:eastAsia="zh-CN"/>
        </w:rPr>
        <w:t>促进民间投资资金和要素保障工作机制。（</w:t>
      </w:r>
      <w:r>
        <w:rPr>
          <w:rFonts w:hint="default" w:ascii="Times New Roman" w:hAnsi="Times New Roman" w:eastAsia="方正楷体_GBK" w:cs="Times New Roman"/>
          <w:sz w:val="32"/>
          <w:szCs w:val="32"/>
          <w:highlight w:val="none"/>
          <w:lang w:val="en-US" w:eastAsia="zh-CN"/>
        </w:rPr>
        <w:t>责任单位：市发改委</w:t>
      </w:r>
      <w:r>
        <w:rPr>
          <w:rFonts w:hint="eastAsia" w:ascii="Times New Roman" w:hAnsi="Times New Roman" w:eastAsia="方正楷体_GBK" w:cs="Times New Roman"/>
          <w:sz w:val="32"/>
          <w:szCs w:val="32"/>
          <w:highlight w:val="none"/>
          <w:lang w:val="en-US" w:eastAsia="zh-CN"/>
        </w:rPr>
        <w:t>、市工信局、市科技局</w:t>
      </w:r>
      <w:r>
        <w:rPr>
          <w:rFonts w:hint="default" w:ascii="Times New Roman" w:hAnsi="Times New Roman" w:eastAsia="方正楷体_GBK" w:cs="Times New Roman"/>
          <w:sz w:val="32"/>
          <w:szCs w:val="32"/>
          <w:highlight w:val="none"/>
          <w:lang w:val="en-US" w:eastAsia="zh-CN"/>
        </w:rPr>
        <w:t>等部门）</w:t>
      </w:r>
    </w:p>
    <w:p w14:paraId="6C6356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2</w:t>
      </w:r>
      <w:r>
        <w:rPr>
          <w:rFonts w:hint="eastAsia" w:ascii="Times New Roman" w:hAnsi="Times New Roman" w:eastAsia="方正楷体_GBK" w:cs="Times New Roman"/>
          <w:color w:val="auto"/>
          <w:sz w:val="32"/>
          <w:szCs w:val="40"/>
          <w:highlight w:val="none"/>
          <w:lang w:val="en-US" w:eastAsia="zh-CN"/>
        </w:rPr>
        <w:t>2</w:t>
      </w:r>
      <w:r>
        <w:rPr>
          <w:rFonts w:hint="default" w:ascii="Times New Roman" w:hAnsi="Times New Roman" w:eastAsia="方正楷体_GBK" w:cs="Times New Roman"/>
          <w:color w:val="auto"/>
          <w:sz w:val="32"/>
          <w:szCs w:val="40"/>
          <w:highlight w:val="none"/>
          <w:lang w:val="en-US" w:eastAsia="zh-CN"/>
        </w:rPr>
        <w:t>. 依法平等保护经营主体产权和合法权益。</w:t>
      </w:r>
      <w:r>
        <w:rPr>
          <w:rFonts w:hint="default" w:ascii="Times New Roman" w:hAnsi="Times New Roman" w:eastAsia="方正仿宋_GBK" w:cs="Times New Roman"/>
          <w:color w:val="auto"/>
          <w:sz w:val="32"/>
          <w:szCs w:val="40"/>
          <w:highlight w:val="none"/>
          <w:lang w:val="en-US" w:eastAsia="zh-CN"/>
        </w:rPr>
        <w:t>常态化开展涉民企刑事“挂案”清理工作。依法公正审理涉民营企业刑事案件，保护民营企业发展和维护民营企业家合法权益。畅通涉企保全绿色通道，对资信状况良好的企业，申请诉讼保全可不要求提供现金担保，申请诉前保全可酌定减少担保数额。允许符合条件的被保全企业申请变更保全措施或置换保全财产。破除主体退出隐形门槛，推进破产案件繁简分流，合理配置审判资源，对债权债务关系清晰的简单破产案件快审快结，到2024年底，全市两级法院破产案件结案率不低于70%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楷体_GBK" w:cs="Times New Roman"/>
          <w:sz w:val="32"/>
          <w:szCs w:val="32"/>
          <w:highlight w:val="none"/>
          <w:lang w:val="en-US" w:eastAsia="zh-CN"/>
        </w:rPr>
        <w:t>责任单位：市法院、市检察院、市公安局、市市场监管局）</w:t>
      </w:r>
    </w:p>
    <w:p w14:paraId="3E0FED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六、促进外贸外资稳中提质</w:t>
      </w:r>
    </w:p>
    <w:p w14:paraId="6F8A0A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2</w:t>
      </w:r>
      <w:r>
        <w:rPr>
          <w:rFonts w:hint="eastAsia" w:ascii="Times New Roman" w:hAnsi="Times New Roman" w:eastAsia="方正楷体_GBK" w:cs="Times New Roman"/>
          <w:color w:val="auto"/>
          <w:sz w:val="32"/>
          <w:szCs w:val="40"/>
          <w:highlight w:val="none"/>
          <w:lang w:val="en-US" w:eastAsia="zh-CN"/>
        </w:rPr>
        <w:t>3</w:t>
      </w:r>
      <w:r>
        <w:rPr>
          <w:rFonts w:hint="default" w:ascii="Times New Roman" w:hAnsi="Times New Roman" w:eastAsia="方正楷体_GBK" w:cs="Times New Roman"/>
          <w:color w:val="auto"/>
          <w:sz w:val="32"/>
          <w:szCs w:val="40"/>
          <w:highlight w:val="none"/>
          <w:lang w:val="en-US" w:eastAsia="zh-CN"/>
        </w:rPr>
        <w:t>. 巩固外贸基本盘。</w:t>
      </w:r>
      <w:r>
        <w:rPr>
          <w:rFonts w:hint="default" w:ascii="Times New Roman" w:hAnsi="Times New Roman" w:eastAsia="方正仿宋_GBK" w:cs="Times New Roman"/>
          <w:color w:val="auto"/>
          <w:sz w:val="32"/>
          <w:szCs w:val="40"/>
          <w:highlight w:val="none"/>
          <w:lang w:val="en-US" w:eastAsia="zh-CN"/>
        </w:rPr>
        <w:t>支持企业参加境外重点展会</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举办盐城高水平对外开放专题推介、盐城（上海）跨国公司合作恳谈会、中韩（盐城）产业园经贸合作交流会等重大经贸活动。加快引进和培育中间品交易平台，扩大中间品出口</w:t>
      </w:r>
      <w:r>
        <w:rPr>
          <w:rFonts w:hint="eastAsia" w:ascii="Times New Roman" w:hAnsi="Times New Roman" w:eastAsia="方正仿宋_GBK" w:cs="Times New Roman"/>
          <w:color w:val="auto"/>
          <w:sz w:val="32"/>
          <w:szCs w:val="40"/>
          <w:highlight w:val="none"/>
          <w:lang w:val="en-US" w:eastAsia="zh-CN"/>
        </w:rPr>
        <w:t>，大力拓展“新三样”等绿色贸易增长点</w:t>
      </w:r>
      <w:r>
        <w:rPr>
          <w:rFonts w:hint="default" w:ascii="Times New Roman" w:hAnsi="Times New Roman" w:eastAsia="方正仿宋_GBK" w:cs="Times New Roman"/>
          <w:color w:val="auto"/>
          <w:sz w:val="32"/>
          <w:szCs w:val="40"/>
          <w:highlight w:val="none"/>
          <w:lang w:val="en-US" w:eastAsia="zh-CN"/>
        </w:rPr>
        <w:t>。综合运用各项优惠政策，支持先进技术装备、关键零部件和原材料进口。深度融合共建“一带一路”，</w:t>
      </w:r>
      <w:r>
        <w:rPr>
          <w:rFonts w:hint="eastAsia" w:ascii="Times New Roman" w:hAnsi="Times New Roman" w:eastAsia="方正仿宋_GBK" w:cs="Times New Roman"/>
          <w:color w:val="auto"/>
          <w:sz w:val="32"/>
          <w:szCs w:val="40"/>
          <w:highlight w:val="none"/>
          <w:lang w:val="en-US" w:eastAsia="zh-CN"/>
        </w:rPr>
        <w:t>加快</w:t>
      </w:r>
      <w:r>
        <w:rPr>
          <w:rFonts w:hint="default" w:ascii="Times New Roman" w:hAnsi="Times New Roman" w:eastAsia="方正仿宋_GBK" w:cs="Times New Roman"/>
          <w:color w:val="auto"/>
          <w:sz w:val="32"/>
          <w:szCs w:val="40"/>
          <w:highlight w:val="none"/>
          <w:lang w:val="en-US" w:eastAsia="zh-CN"/>
        </w:rPr>
        <w:t>推进中欧始发班列开行工作。深化</w:t>
      </w:r>
      <w:r>
        <w:rPr>
          <w:rFonts w:hint="eastAsia" w:ascii="Times New Roman" w:hAnsi="Times New Roman" w:eastAsia="方正仿宋_GBK" w:cs="Times New Roman"/>
          <w:color w:val="auto"/>
          <w:sz w:val="32"/>
          <w:szCs w:val="40"/>
          <w:highlight w:val="none"/>
          <w:lang w:val="en-US" w:eastAsia="zh-CN"/>
        </w:rPr>
        <w:t>盐城口岸</w:t>
      </w:r>
      <w:r>
        <w:rPr>
          <w:rFonts w:hint="default" w:ascii="Times New Roman" w:hAnsi="Times New Roman" w:eastAsia="方正仿宋_GBK" w:cs="Times New Roman"/>
          <w:color w:val="auto"/>
          <w:sz w:val="32"/>
          <w:szCs w:val="40"/>
          <w:highlight w:val="none"/>
          <w:lang w:val="en-US" w:eastAsia="zh-CN"/>
        </w:rPr>
        <w:t>与上港集团合作，深入推进“沪盐通”通关模式，全面融入上海国际航运中心</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开辟盐城港至 “一带一路”沿线国家和地区港口国际集装箱航线，拓展日本、韩国、东南亚国际直达集装箱航线。</w:t>
      </w:r>
      <w:r>
        <w:rPr>
          <w:rFonts w:hint="default" w:ascii="Times New Roman" w:hAnsi="Times New Roman" w:eastAsia="方正楷体_GBK" w:cs="Times New Roman"/>
          <w:color w:val="auto"/>
          <w:sz w:val="32"/>
          <w:szCs w:val="40"/>
          <w:highlight w:val="none"/>
          <w:lang w:val="en-US" w:eastAsia="zh-CN"/>
        </w:rPr>
        <w:t>（责任</w:t>
      </w:r>
      <w:r>
        <w:rPr>
          <w:rFonts w:hint="default" w:ascii="Times New Roman" w:hAnsi="Times New Roman" w:eastAsia="方正楷体_GBK" w:cs="Times New Roman"/>
          <w:color w:val="auto"/>
          <w:sz w:val="32"/>
          <w:szCs w:val="40"/>
          <w:highlight w:val="none"/>
          <w:lang w:val="en-US" w:eastAsia="zh-CN"/>
        </w:rPr>
        <w:t>单位：市商务局、市交通局、市财政局、盐城海关）</w:t>
      </w:r>
    </w:p>
    <w:p w14:paraId="727101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2</w:t>
      </w:r>
      <w:r>
        <w:rPr>
          <w:rFonts w:hint="eastAsia" w:ascii="Times New Roman" w:hAnsi="Times New Roman" w:eastAsia="方正楷体_GBK" w:cs="Times New Roman"/>
          <w:color w:val="auto"/>
          <w:sz w:val="32"/>
          <w:szCs w:val="40"/>
          <w:highlight w:val="none"/>
          <w:lang w:val="en-US" w:eastAsia="zh-CN"/>
        </w:rPr>
        <w:t>4</w:t>
      </w:r>
      <w:r>
        <w:rPr>
          <w:rFonts w:hint="default" w:ascii="Times New Roman" w:hAnsi="Times New Roman" w:eastAsia="方正楷体_GBK" w:cs="Times New Roman"/>
          <w:color w:val="auto"/>
          <w:sz w:val="32"/>
          <w:szCs w:val="40"/>
          <w:highlight w:val="none"/>
          <w:lang w:val="en-US" w:eastAsia="zh-CN"/>
        </w:rPr>
        <w:t>. 推动跨境电商高质量发展。</w:t>
      </w:r>
      <w:r>
        <w:rPr>
          <w:rFonts w:hint="default" w:ascii="Times New Roman" w:hAnsi="Times New Roman" w:eastAsia="方正仿宋_GBK" w:cs="Times New Roman"/>
          <w:color w:val="auto"/>
          <w:sz w:val="32"/>
          <w:szCs w:val="40"/>
          <w:highlight w:val="none"/>
          <w:lang w:val="en-US" w:eastAsia="zh-CN"/>
        </w:rPr>
        <w:t>发展推广“跨境电商+产业带”发展模式，重点招引跨电“四小龙”等头部企业。在盐南高新区综合服务平台运营中心基础上，增设盐城电商快递产业园（省级跨电园区）线上综合服务平台服务中心，形成“双中心”格局。深化与中信保江苏分公司、省海外仓联盟、广州市商务局、阿里国际站、中国制造网等政府部门和协会平台合作，推动东台市金丽达、雪鸟设立公共海外仓，推进市开发区光伏电池、建湖石油机械、盐都宠物用品、大丰家纺等优势产业与跨境电商融合发展，探索设立产业带“线上专区”，持续带动B2B（9710）模式出口，到2024年底，全市跨境电商贸易规模突破100亿元</w:t>
      </w:r>
      <w:r>
        <w:rPr>
          <w:rFonts w:hint="eastAsia" w:ascii="Times New Roman" w:hAnsi="Times New Roman" w:eastAsia="方正仿宋_GBK" w:cs="Times New Roman"/>
          <w:color w:val="auto"/>
          <w:sz w:val="32"/>
          <w:szCs w:val="40"/>
          <w:highlight w:val="none"/>
          <w:lang w:val="en-US" w:eastAsia="zh-CN"/>
        </w:rPr>
        <w:t>，</w:t>
      </w:r>
      <w:r>
        <w:rPr>
          <w:rFonts w:hint="default" w:ascii="Times New Roman" w:hAnsi="Times New Roman" w:eastAsia="方正仿宋_GBK" w:cs="Times New Roman"/>
          <w:color w:val="auto"/>
          <w:sz w:val="32"/>
          <w:szCs w:val="40"/>
          <w:highlight w:val="none"/>
          <w:lang w:val="en-US" w:eastAsia="zh-CN"/>
        </w:rPr>
        <w:t>打造跨境电商产业带5个。</w:t>
      </w:r>
      <w:r>
        <w:rPr>
          <w:rFonts w:hint="default" w:ascii="Times New Roman" w:hAnsi="Times New Roman" w:eastAsia="方正楷体_GBK" w:cs="Times New Roman"/>
          <w:color w:val="auto"/>
          <w:sz w:val="32"/>
          <w:szCs w:val="40"/>
          <w:highlight w:val="none"/>
          <w:lang w:val="en-US" w:eastAsia="zh-CN"/>
        </w:rPr>
        <w:t>（责任单位：市商务局、</w:t>
      </w:r>
      <w:r>
        <w:rPr>
          <w:rFonts w:hint="default" w:ascii="Times New Roman" w:hAnsi="Times New Roman" w:eastAsia="方正楷体_GBK" w:cs="Times New Roman"/>
          <w:color w:val="auto"/>
          <w:sz w:val="32"/>
          <w:szCs w:val="40"/>
          <w:highlight w:val="none"/>
          <w:lang w:val="en-US" w:eastAsia="zh-CN"/>
        </w:rPr>
        <w:t>盐城海关</w:t>
      </w:r>
      <w:r>
        <w:rPr>
          <w:rFonts w:hint="default" w:ascii="Times New Roman" w:hAnsi="Times New Roman" w:eastAsia="方正楷体_GBK" w:cs="Times New Roman"/>
          <w:color w:val="auto"/>
          <w:sz w:val="32"/>
          <w:szCs w:val="40"/>
          <w:highlight w:val="none"/>
          <w:lang w:val="en-US" w:eastAsia="zh-CN"/>
        </w:rPr>
        <w:t>）</w:t>
      </w:r>
    </w:p>
    <w:p w14:paraId="2FB05D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2</w:t>
      </w:r>
      <w:r>
        <w:rPr>
          <w:rFonts w:hint="eastAsia" w:ascii="Times New Roman" w:hAnsi="Times New Roman" w:eastAsia="方正楷体_GBK" w:cs="Times New Roman"/>
          <w:color w:val="auto"/>
          <w:sz w:val="32"/>
          <w:szCs w:val="40"/>
          <w:highlight w:val="none"/>
          <w:lang w:val="en-US" w:eastAsia="zh-CN"/>
        </w:rPr>
        <w:t>5</w:t>
      </w:r>
      <w:r>
        <w:rPr>
          <w:rFonts w:hint="default" w:ascii="Times New Roman" w:hAnsi="Times New Roman" w:eastAsia="方正楷体_GBK" w:cs="Times New Roman"/>
          <w:color w:val="auto"/>
          <w:sz w:val="32"/>
          <w:szCs w:val="40"/>
          <w:highlight w:val="none"/>
          <w:lang w:val="en-US" w:eastAsia="zh-CN"/>
        </w:rPr>
        <w:t>. 大力吸引和利用外资。</w:t>
      </w:r>
      <w:r>
        <w:rPr>
          <w:rFonts w:hint="eastAsia" w:ascii="Times New Roman" w:hAnsi="Times New Roman" w:eastAsia="方正仿宋_GBK" w:cs="Times New Roman"/>
          <w:snapToGrid/>
          <w:color w:val="auto"/>
          <w:kern w:val="2"/>
          <w:sz w:val="32"/>
          <w:szCs w:val="40"/>
          <w:highlight w:val="none"/>
          <w:lang w:val="en-US" w:eastAsia="zh-CN" w:bidi="ar-SA"/>
        </w:rPr>
        <w:t>支持外商投资企业设立地区总部和功能性机构，依法依规给予资金和便利化措施支持。</w:t>
      </w:r>
      <w:r>
        <w:rPr>
          <w:rFonts w:hint="default" w:ascii="Times New Roman" w:hAnsi="Times New Roman" w:eastAsia="方正仿宋_GBK" w:cs="Times New Roman"/>
          <w:snapToGrid/>
          <w:color w:val="auto"/>
          <w:kern w:val="2"/>
          <w:sz w:val="32"/>
          <w:szCs w:val="40"/>
          <w:highlight w:val="none"/>
          <w:lang w:val="en-US" w:eastAsia="zh-CN" w:bidi="ar-SA"/>
        </w:rPr>
        <w:t>加强外商权益保护，优化投资环境</w:t>
      </w:r>
      <w:r>
        <w:rPr>
          <w:rFonts w:hint="eastAsia"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鼓励外资企业通过利润再投资、并购重组等方式扩大投资</w:t>
      </w:r>
      <w:r>
        <w:rPr>
          <w:rFonts w:hint="eastAsia"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积极吸引</w:t>
      </w:r>
      <w:r>
        <w:rPr>
          <w:rFonts w:hint="default" w:ascii="Times New Roman" w:hAnsi="Times New Roman" w:eastAsia="方正仿宋_GBK" w:cs="Times New Roman"/>
          <w:color w:val="auto"/>
          <w:sz w:val="32"/>
          <w:szCs w:val="40"/>
          <w:highlight w:val="none"/>
          <w:lang w:val="en-US" w:eastAsia="zh-CN"/>
        </w:rPr>
        <w:t>中东主权财富基金</w:t>
      </w:r>
      <w:r>
        <w:rPr>
          <w:rFonts w:hint="default" w:ascii="Times New Roman" w:hAnsi="Times New Roman" w:eastAsia="方正仿宋_GBK" w:cs="Times New Roman"/>
          <w:snapToGrid/>
          <w:color w:val="auto"/>
          <w:kern w:val="2"/>
          <w:sz w:val="32"/>
          <w:szCs w:val="40"/>
          <w:highlight w:val="none"/>
          <w:lang w:val="en-US" w:eastAsia="zh-CN" w:bidi="ar-SA"/>
        </w:rPr>
        <w:t>等更多长期资本来盐投资兴业。推进合格境外有限合伙人（QFLP）境内投资试点</w:t>
      </w:r>
      <w:r>
        <w:rPr>
          <w:rFonts w:hint="eastAsia" w:ascii="Times New Roman" w:hAnsi="Times New Roman" w:eastAsia="方正仿宋_GBK" w:cs="Times New Roman"/>
          <w:snapToGrid/>
          <w:color w:val="auto"/>
          <w:kern w:val="2"/>
          <w:sz w:val="32"/>
          <w:szCs w:val="40"/>
          <w:highlight w:val="none"/>
          <w:lang w:val="en-US" w:eastAsia="zh-CN" w:bidi="ar-SA"/>
        </w:rPr>
        <w:t>项目落地</w:t>
      </w:r>
      <w:r>
        <w:rPr>
          <w:rFonts w:hint="default" w:ascii="Times New Roman" w:hAnsi="Times New Roman" w:eastAsia="方正仿宋_GBK" w:cs="Times New Roman"/>
          <w:snapToGrid/>
          <w:color w:val="auto"/>
          <w:kern w:val="2"/>
          <w:sz w:val="32"/>
          <w:szCs w:val="40"/>
          <w:highlight w:val="none"/>
          <w:lang w:val="en-US" w:eastAsia="zh-CN" w:bidi="ar-SA"/>
        </w:rPr>
        <w:t>。</w:t>
      </w:r>
      <w:r>
        <w:rPr>
          <w:rFonts w:hint="default" w:ascii="Times New Roman" w:hAnsi="Times New Roman" w:eastAsia="方正仿宋_GBK" w:cs="Times New Roman"/>
          <w:color w:val="auto"/>
          <w:sz w:val="32"/>
          <w:szCs w:val="40"/>
          <w:highlight w:val="none"/>
          <w:lang w:val="en-US" w:eastAsia="zh-CN"/>
        </w:rPr>
        <w:t>完善重点外资企业常态化走访和协调保障机制，开展“外资企业服务月”活动，</w:t>
      </w:r>
      <w:r>
        <w:rPr>
          <w:rFonts w:hint="eastAsia" w:ascii="Times New Roman" w:hAnsi="Times New Roman" w:eastAsia="方正仿宋_GBK" w:cs="Times New Roman"/>
          <w:color w:val="auto"/>
          <w:sz w:val="32"/>
          <w:szCs w:val="40"/>
          <w:highlight w:val="none"/>
          <w:lang w:val="en-US" w:eastAsia="zh-CN"/>
        </w:rPr>
        <w:t>持续</w:t>
      </w:r>
      <w:r>
        <w:rPr>
          <w:rFonts w:hint="default" w:ascii="Times New Roman" w:hAnsi="Times New Roman" w:eastAsia="方正仿宋_GBK" w:cs="Times New Roman"/>
          <w:snapToGrid/>
          <w:color w:val="auto"/>
          <w:kern w:val="2"/>
          <w:sz w:val="32"/>
          <w:szCs w:val="40"/>
          <w:highlight w:val="none"/>
          <w:lang w:val="en-US" w:eastAsia="zh-CN" w:bidi="ar-SA"/>
        </w:rPr>
        <w:t>抓好年度全市重点外资项目建设，每年新开工建设重点外资项目50个以上。</w:t>
      </w:r>
      <w:r>
        <w:rPr>
          <w:rFonts w:hint="default" w:ascii="Times New Roman" w:hAnsi="Times New Roman" w:eastAsia="方正楷体_GBK" w:cs="Times New Roman"/>
          <w:color w:val="auto"/>
          <w:sz w:val="32"/>
          <w:szCs w:val="40"/>
          <w:highlight w:val="none"/>
          <w:lang w:val="en-US" w:eastAsia="zh-CN"/>
        </w:rPr>
        <w:t>（责任单位：市商务局）</w:t>
      </w:r>
    </w:p>
    <w:p w14:paraId="391B0D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2</w:t>
      </w:r>
      <w:r>
        <w:rPr>
          <w:rFonts w:hint="eastAsia" w:ascii="Times New Roman" w:hAnsi="Times New Roman" w:eastAsia="方正楷体_GBK" w:cs="Times New Roman"/>
          <w:color w:val="auto"/>
          <w:sz w:val="32"/>
          <w:szCs w:val="40"/>
          <w:highlight w:val="none"/>
          <w:lang w:val="en-US" w:eastAsia="zh-CN"/>
        </w:rPr>
        <w:t>6</w:t>
      </w:r>
      <w:r>
        <w:rPr>
          <w:rFonts w:hint="default" w:ascii="Times New Roman" w:hAnsi="Times New Roman" w:eastAsia="方正楷体_GBK" w:cs="Times New Roman"/>
          <w:color w:val="auto"/>
          <w:sz w:val="32"/>
          <w:szCs w:val="40"/>
          <w:highlight w:val="none"/>
          <w:lang w:val="en-US" w:eastAsia="zh-CN"/>
        </w:rPr>
        <w:t xml:space="preserve">. </w:t>
      </w:r>
      <w:r>
        <w:rPr>
          <w:rFonts w:hint="default" w:ascii="Times New Roman" w:hAnsi="Times New Roman" w:eastAsia="方正楷体_GBK" w:cs="Times New Roman"/>
          <w:color w:val="auto"/>
          <w:sz w:val="32"/>
          <w:szCs w:val="40"/>
          <w:highlight w:val="none"/>
          <w:lang w:val="en-US" w:eastAsia="zh-CN"/>
        </w:rPr>
        <w:t>服务企业“走出去”。</w:t>
      </w:r>
      <w:r>
        <w:rPr>
          <w:rFonts w:hint="default" w:ascii="Times New Roman" w:hAnsi="Times New Roman" w:eastAsia="方正仿宋_GBK" w:cs="Times New Roman"/>
          <w:snapToGrid/>
          <w:color w:val="auto"/>
          <w:kern w:val="2"/>
          <w:sz w:val="32"/>
          <w:szCs w:val="40"/>
          <w:highlight w:val="none"/>
          <w:lang w:val="en-US" w:eastAsia="zh-CN" w:bidi="ar-SA"/>
        </w:rPr>
        <w:t>组织开展“外汇服务银企行”、跨境贸易投资高水平开放试点政策宣讲，指导银行建立科技创新、民营小微、服务贸易、数字贸易等重点领域企业结算清单，推动各项便利化及外汇改革新政落地见效。积极应对“新三样”出口下降挑战，完善贸易摩擦预警机制，鼓励重点企业加大“走出去”力度，确保</w:t>
      </w:r>
      <w:r>
        <w:rPr>
          <w:rFonts w:hint="eastAsia" w:ascii="Times New Roman" w:hAnsi="Times New Roman" w:eastAsia="方正仿宋_GBK" w:cs="Times New Roman"/>
          <w:snapToGrid/>
          <w:color w:val="auto"/>
          <w:kern w:val="2"/>
          <w:sz w:val="32"/>
          <w:szCs w:val="40"/>
          <w:highlight w:val="none"/>
          <w:lang w:val="en-US" w:eastAsia="zh-CN" w:bidi="ar-SA"/>
        </w:rPr>
        <w:t>2024年</w:t>
      </w:r>
      <w:r>
        <w:rPr>
          <w:rFonts w:hint="default" w:ascii="Times New Roman" w:hAnsi="Times New Roman" w:eastAsia="方正仿宋_GBK" w:cs="Times New Roman"/>
          <w:snapToGrid/>
          <w:color w:val="auto"/>
          <w:kern w:val="2"/>
          <w:sz w:val="32"/>
          <w:szCs w:val="40"/>
          <w:highlight w:val="none"/>
          <w:lang w:val="en-US" w:eastAsia="zh-CN" w:bidi="ar-SA"/>
        </w:rPr>
        <w:t>我市对外直接投资达1亿美元。</w:t>
      </w:r>
      <w:r>
        <w:rPr>
          <w:rFonts w:hint="eastAsia" w:ascii="Times New Roman" w:hAnsi="Times New Roman" w:eastAsia="方正仿宋_GBK" w:cs="Times New Roman"/>
          <w:snapToGrid/>
          <w:color w:val="auto"/>
          <w:kern w:val="2"/>
          <w:sz w:val="32"/>
          <w:szCs w:val="40"/>
          <w:highlight w:val="none"/>
          <w:lang w:val="en-US" w:eastAsia="zh-CN" w:bidi="ar-SA"/>
        </w:rPr>
        <w:t>落实</w:t>
      </w:r>
      <w:r>
        <w:rPr>
          <w:rFonts w:hint="default" w:ascii="Times New Roman" w:hAnsi="Times New Roman" w:eastAsia="方正仿宋_GBK" w:cs="Times New Roman"/>
          <w:snapToGrid/>
          <w:color w:val="auto"/>
          <w:kern w:val="2"/>
          <w:sz w:val="32"/>
          <w:szCs w:val="40"/>
          <w:highlight w:val="none"/>
          <w:lang w:val="en-US" w:eastAsia="zh-CN" w:bidi="ar-SA"/>
        </w:rPr>
        <w:t>取消境内企业境外直接投资前期费用累计汇出额不超过等值300万美元限制</w:t>
      </w:r>
      <w:r>
        <w:rPr>
          <w:rFonts w:hint="eastAsia" w:ascii="Times New Roman" w:hAnsi="Times New Roman" w:eastAsia="方正仿宋_GBK" w:cs="Times New Roman"/>
          <w:snapToGrid/>
          <w:color w:val="auto"/>
          <w:kern w:val="2"/>
          <w:sz w:val="32"/>
          <w:szCs w:val="40"/>
          <w:highlight w:val="none"/>
          <w:lang w:val="en-US" w:eastAsia="zh-CN" w:bidi="ar-SA"/>
        </w:rPr>
        <w:t>，但累计汇出额不得超过中方拟投资总额15%的政策</w:t>
      </w:r>
      <w:r>
        <w:rPr>
          <w:rFonts w:hint="default" w:ascii="Times New Roman" w:hAnsi="Times New Roman" w:eastAsia="方正仿宋_GBK" w:cs="Times New Roman"/>
          <w:snapToGrid/>
          <w:color w:val="auto"/>
          <w:kern w:val="2"/>
          <w:sz w:val="32"/>
          <w:szCs w:val="40"/>
          <w:highlight w:val="none"/>
          <w:lang w:val="en-US" w:eastAsia="zh-CN" w:bidi="ar-SA"/>
        </w:rPr>
        <w:t>。发挥人保、中信保和优投网等中介机构作用，推广外派人员境外人身意外伤害险及安全防卫保险政策，为企业走出去保驾护航。</w:t>
      </w:r>
      <w:r>
        <w:rPr>
          <w:rFonts w:hint="default" w:ascii="Times New Roman" w:hAnsi="Times New Roman" w:eastAsia="方正楷体_GBK" w:cs="Times New Roman"/>
          <w:color w:val="auto"/>
          <w:sz w:val="32"/>
          <w:szCs w:val="40"/>
          <w:highlight w:val="none"/>
          <w:lang w:val="en-US" w:eastAsia="zh-CN"/>
        </w:rPr>
        <w:t>（责任单位：人民银行盐城分行、</w:t>
      </w:r>
      <w:r>
        <w:rPr>
          <w:rFonts w:hint="eastAsia" w:ascii="Times New Roman" w:hAnsi="Times New Roman" w:eastAsia="方正楷体_GBK" w:cs="Times New Roman"/>
          <w:color w:val="auto"/>
          <w:sz w:val="32"/>
          <w:szCs w:val="40"/>
          <w:highlight w:val="none"/>
          <w:lang w:val="en-US" w:eastAsia="zh-CN"/>
        </w:rPr>
        <w:t>市商务局</w:t>
      </w:r>
      <w:r>
        <w:rPr>
          <w:rFonts w:hint="default" w:ascii="Times New Roman" w:hAnsi="Times New Roman" w:eastAsia="方正楷体_GBK" w:cs="Times New Roman"/>
          <w:color w:val="auto"/>
          <w:sz w:val="32"/>
          <w:szCs w:val="40"/>
          <w:highlight w:val="none"/>
          <w:lang w:val="en-US" w:eastAsia="zh-CN"/>
        </w:rPr>
        <w:t>、市司法局、市外办）</w:t>
      </w:r>
    </w:p>
    <w:p w14:paraId="1E4F7B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七、扎实推进乡村全面振兴</w:t>
      </w:r>
    </w:p>
    <w:p w14:paraId="67BDD55C">
      <w:pPr>
        <w:pStyle w:val="13"/>
        <w:keepNext w:val="0"/>
        <w:keepLines w:val="0"/>
        <w:pageBreakBefore w:val="0"/>
        <w:widowControl w:val="0"/>
        <w:kinsoku/>
        <w:wordWrap/>
        <w:overflowPunct/>
        <w:topLinePunct w:val="0"/>
        <w:autoSpaceDE/>
        <w:autoSpaceDN/>
        <w:bidi w:val="0"/>
        <w:spacing w:line="560" w:lineRule="exact"/>
        <w:ind w:firstLine="643"/>
        <w:jc w:val="both"/>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2</w:t>
      </w:r>
      <w:r>
        <w:rPr>
          <w:rFonts w:hint="eastAsia" w:eastAsia="方正楷体_GBK" w:cs="Times New Roman"/>
          <w:color w:val="auto"/>
          <w:sz w:val="32"/>
          <w:szCs w:val="40"/>
          <w:highlight w:val="none"/>
          <w:lang w:val="en-US" w:eastAsia="zh-CN"/>
        </w:rPr>
        <w:t>7</w:t>
      </w:r>
      <w:r>
        <w:rPr>
          <w:rFonts w:hint="default" w:ascii="Times New Roman" w:hAnsi="Times New Roman" w:eastAsia="方正楷体_GBK" w:cs="Times New Roman"/>
          <w:color w:val="auto"/>
          <w:sz w:val="32"/>
          <w:szCs w:val="40"/>
          <w:highlight w:val="none"/>
          <w:lang w:val="en-US" w:eastAsia="zh-CN"/>
        </w:rPr>
        <w:t>. 全力保障农业生产。</w:t>
      </w:r>
      <w:r>
        <w:rPr>
          <w:rFonts w:hint="default" w:ascii="Times New Roman" w:hAnsi="Times New Roman" w:eastAsia="方正仿宋_GBK" w:cs="Times New Roman"/>
          <w:snapToGrid/>
          <w:color w:val="auto"/>
          <w:kern w:val="2"/>
          <w:sz w:val="32"/>
          <w:szCs w:val="40"/>
          <w:highlight w:val="none"/>
          <w:lang w:val="en-US" w:eastAsia="zh-CN" w:bidi="ar-SA"/>
        </w:rPr>
        <w:t>持续加大高标准农田建设力度，2024年度实施国家高标准农田建设项目50.13万亩，取消对9个县（市、区）县级配套资金要求</w:t>
      </w:r>
      <w:r>
        <w:rPr>
          <w:rFonts w:hint="eastAsia" w:cs="Times New Roman"/>
          <w:snapToGrid/>
          <w:color w:val="auto"/>
          <w:kern w:val="2"/>
          <w:sz w:val="32"/>
          <w:szCs w:val="40"/>
          <w:highlight w:val="none"/>
          <w:lang w:val="en-US" w:eastAsia="zh-CN" w:bidi="ar-SA"/>
        </w:rPr>
        <w:t>。支持粮食仓储设施项目建设</w:t>
      </w:r>
      <w:r>
        <w:rPr>
          <w:rFonts w:hint="default" w:ascii="Times New Roman" w:hAnsi="Times New Roman" w:eastAsia="方正仿宋_GBK" w:cs="Times New Roman"/>
          <w:snapToGrid/>
          <w:color w:val="auto"/>
          <w:kern w:val="2"/>
          <w:sz w:val="32"/>
          <w:szCs w:val="40"/>
          <w:highlight w:val="none"/>
          <w:lang w:val="en-US" w:eastAsia="zh-CN" w:bidi="ar-SA"/>
        </w:rPr>
        <w:t>。</w:t>
      </w:r>
      <w:r>
        <w:rPr>
          <w:rFonts w:hint="eastAsia" w:cs="Times New Roman"/>
          <w:snapToGrid/>
          <w:color w:val="auto"/>
          <w:kern w:val="2"/>
          <w:sz w:val="32"/>
          <w:szCs w:val="40"/>
          <w:highlight w:val="none"/>
          <w:lang w:val="en-US" w:eastAsia="zh-CN" w:bidi="ar-SA"/>
        </w:rPr>
        <w:t>扎实</w:t>
      </w:r>
      <w:r>
        <w:rPr>
          <w:rFonts w:hint="default" w:ascii="Times New Roman" w:hAnsi="Times New Roman" w:eastAsia="方正仿宋_GBK" w:cs="Times New Roman"/>
          <w:snapToGrid/>
          <w:color w:val="auto"/>
          <w:kern w:val="2"/>
          <w:sz w:val="32"/>
          <w:szCs w:val="40"/>
          <w:highlight w:val="none"/>
          <w:lang w:val="en-US" w:eastAsia="zh-CN" w:bidi="ar-SA"/>
        </w:rPr>
        <w:t>推动全域土地综合整治</w:t>
      </w:r>
      <w:r>
        <w:rPr>
          <w:rFonts w:hint="eastAsia" w:cs="Times New Roman"/>
          <w:snapToGrid/>
          <w:color w:val="auto"/>
          <w:kern w:val="2"/>
          <w:sz w:val="32"/>
          <w:szCs w:val="40"/>
          <w:highlight w:val="none"/>
          <w:lang w:val="en-US" w:eastAsia="zh-CN" w:bidi="ar-SA"/>
        </w:rPr>
        <w:t>，</w:t>
      </w:r>
      <w:r>
        <w:rPr>
          <w:rFonts w:hint="default" w:ascii="Times New Roman" w:hAnsi="Times New Roman" w:eastAsia="方正仿宋_GBK" w:cs="Times New Roman"/>
          <w:snapToGrid/>
          <w:color w:val="auto"/>
          <w:kern w:val="2"/>
          <w:sz w:val="32"/>
          <w:szCs w:val="40"/>
          <w:highlight w:val="none"/>
          <w:lang w:val="en-US" w:eastAsia="zh-CN" w:bidi="ar-SA"/>
        </w:rPr>
        <w:t>加强新增耕地后期管护，</w:t>
      </w:r>
      <w:r>
        <w:rPr>
          <w:rFonts w:hint="eastAsia" w:cs="Times New Roman"/>
          <w:snapToGrid/>
          <w:color w:val="auto"/>
          <w:kern w:val="2"/>
          <w:sz w:val="32"/>
          <w:szCs w:val="40"/>
          <w:highlight w:val="none"/>
          <w:lang w:val="en-US" w:eastAsia="zh-CN" w:bidi="ar-SA"/>
        </w:rPr>
        <w:t>到2025年底，全市</w:t>
      </w:r>
      <w:r>
        <w:rPr>
          <w:rFonts w:hint="default" w:ascii="Times New Roman" w:hAnsi="Times New Roman" w:cs="Times New Roman"/>
          <w:snapToGrid/>
          <w:color w:val="auto"/>
          <w:kern w:val="2"/>
          <w:sz w:val="32"/>
          <w:szCs w:val="40"/>
          <w:highlight w:val="none"/>
          <w:lang w:val="en-US" w:eastAsia="zh-CN" w:bidi="ar-SA"/>
        </w:rPr>
        <w:t>实施全域整治项目</w:t>
      </w:r>
      <w:r>
        <w:rPr>
          <w:rFonts w:hint="eastAsia" w:cs="Times New Roman"/>
          <w:snapToGrid/>
          <w:color w:val="auto"/>
          <w:kern w:val="2"/>
          <w:sz w:val="32"/>
          <w:szCs w:val="40"/>
          <w:highlight w:val="none"/>
          <w:lang w:val="en-US" w:eastAsia="zh-CN" w:bidi="ar-SA"/>
        </w:rPr>
        <w:t>8</w:t>
      </w:r>
      <w:r>
        <w:rPr>
          <w:rFonts w:hint="default" w:ascii="Times New Roman" w:hAnsi="Times New Roman" w:cs="Times New Roman"/>
          <w:snapToGrid/>
          <w:color w:val="auto"/>
          <w:kern w:val="2"/>
          <w:sz w:val="32"/>
          <w:szCs w:val="40"/>
          <w:highlight w:val="none"/>
          <w:lang w:val="en-US" w:eastAsia="zh-CN" w:bidi="ar-SA"/>
        </w:rPr>
        <w:t>个</w:t>
      </w:r>
      <w:r>
        <w:rPr>
          <w:rFonts w:hint="default" w:ascii="Times New Roman" w:hAnsi="Times New Roman" w:cs="Times New Roman"/>
          <w:snapToGrid/>
          <w:color w:val="auto"/>
          <w:kern w:val="2"/>
          <w:sz w:val="32"/>
          <w:szCs w:val="40"/>
          <w:highlight w:val="none"/>
          <w:lang w:val="en-US" w:eastAsia="zh-CN" w:bidi="ar-SA"/>
        </w:rPr>
        <w:t>，完成新增耕地</w:t>
      </w:r>
      <w:r>
        <w:rPr>
          <w:rFonts w:hint="eastAsia" w:cs="Times New Roman"/>
          <w:snapToGrid/>
          <w:color w:val="auto"/>
          <w:kern w:val="2"/>
          <w:sz w:val="32"/>
          <w:szCs w:val="40"/>
          <w:highlight w:val="none"/>
          <w:lang w:val="en-US" w:eastAsia="zh-CN" w:bidi="ar-SA"/>
        </w:rPr>
        <w:t>984.8</w:t>
      </w:r>
      <w:r>
        <w:rPr>
          <w:rFonts w:hint="default" w:ascii="Times New Roman" w:hAnsi="Times New Roman" w:cs="Times New Roman"/>
          <w:snapToGrid/>
          <w:color w:val="auto"/>
          <w:kern w:val="2"/>
          <w:sz w:val="32"/>
          <w:szCs w:val="40"/>
          <w:highlight w:val="none"/>
          <w:lang w:val="en-US" w:eastAsia="zh-CN" w:bidi="ar-SA"/>
        </w:rPr>
        <w:t>公顷</w:t>
      </w:r>
      <w:r>
        <w:rPr>
          <w:rFonts w:hint="default" w:ascii="Times New Roman" w:hAnsi="Times New Roman" w:cs="Times New Roman"/>
          <w:snapToGrid/>
          <w:color w:val="auto"/>
          <w:kern w:val="2"/>
          <w:sz w:val="32"/>
          <w:szCs w:val="40"/>
          <w:highlight w:val="none"/>
          <w:lang w:val="en-US" w:eastAsia="zh-CN" w:bidi="ar-SA"/>
        </w:rPr>
        <w:t>。</w:t>
      </w:r>
      <w:r>
        <w:rPr>
          <w:rFonts w:hint="default" w:ascii="Times New Roman" w:hAnsi="Times New Roman" w:eastAsia="方正楷体_GBK" w:cs="Times New Roman"/>
          <w:snapToGrid/>
          <w:color w:val="auto"/>
          <w:kern w:val="2"/>
          <w:sz w:val="32"/>
          <w:szCs w:val="40"/>
          <w:highlight w:val="none"/>
          <w:lang w:val="en-US" w:eastAsia="zh-CN" w:bidi="ar-SA"/>
        </w:rPr>
        <w:t>（责任单位：市农业农村局、市财政局、市自然资源和规划局）</w:t>
      </w:r>
    </w:p>
    <w:p w14:paraId="75360748">
      <w:pPr>
        <w:pStyle w:val="13"/>
        <w:keepNext w:val="0"/>
        <w:keepLines w:val="0"/>
        <w:pageBreakBefore w:val="0"/>
        <w:widowControl w:val="0"/>
        <w:kinsoku/>
        <w:wordWrap/>
        <w:overflowPunct/>
        <w:topLinePunct w:val="0"/>
        <w:autoSpaceDE/>
        <w:autoSpaceDN/>
        <w:bidi w:val="0"/>
        <w:spacing w:line="560" w:lineRule="exact"/>
        <w:ind w:firstLine="643"/>
        <w:jc w:val="both"/>
        <w:textAlignment w:val="auto"/>
        <w:rPr>
          <w:rFonts w:hint="default" w:ascii="Times New Roman" w:hAnsi="Times New Roman" w:eastAsia="方正楷体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2</w:t>
      </w:r>
      <w:r>
        <w:rPr>
          <w:rFonts w:hint="eastAsia" w:eastAsia="方正楷体_GBK" w:cs="Times New Roman"/>
          <w:color w:val="auto"/>
          <w:sz w:val="32"/>
          <w:szCs w:val="40"/>
          <w:highlight w:val="none"/>
          <w:lang w:val="en-US" w:eastAsia="zh-CN"/>
        </w:rPr>
        <w:t>8</w:t>
      </w:r>
      <w:r>
        <w:rPr>
          <w:rFonts w:hint="default" w:ascii="Times New Roman" w:hAnsi="Times New Roman" w:eastAsia="方正楷体_GBK" w:cs="Times New Roman"/>
          <w:color w:val="auto"/>
          <w:sz w:val="32"/>
          <w:szCs w:val="40"/>
          <w:highlight w:val="none"/>
          <w:lang w:val="en-US" w:eastAsia="zh-CN"/>
        </w:rPr>
        <w:t>. 提升农业现代化水平。</w:t>
      </w:r>
      <w:r>
        <w:rPr>
          <w:rFonts w:hint="default" w:ascii="Times New Roman" w:hAnsi="Times New Roman" w:eastAsia="方正仿宋_GBK" w:cs="Times New Roman"/>
          <w:snapToGrid/>
          <w:color w:val="auto"/>
          <w:kern w:val="2"/>
          <w:sz w:val="32"/>
          <w:szCs w:val="40"/>
          <w:highlight w:val="none"/>
          <w:lang w:val="en-US" w:eastAsia="zh-CN" w:bidi="ar-SA"/>
        </w:rPr>
        <w:t>加快实施农业数字化建设整市推进试点项目，对符合财政专项资金用途</w:t>
      </w:r>
      <w:r>
        <w:rPr>
          <w:rFonts w:hint="eastAsia" w:cs="Times New Roman"/>
          <w:snapToGrid/>
          <w:color w:val="auto"/>
          <w:kern w:val="2"/>
          <w:sz w:val="32"/>
          <w:szCs w:val="40"/>
          <w:highlight w:val="none"/>
          <w:lang w:val="en-US" w:eastAsia="zh-CN" w:bidi="ar-SA"/>
        </w:rPr>
        <w:t>的</w:t>
      </w:r>
      <w:r>
        <w:rPr>
          <w:rFonts w:hint="default" w:ascii="Times New Roman" w:hAnsi="Times New Roman" w:eastAsia="方正仿宋_GBK" w:cs="Times New Roman"/>
          <w:snapToGrid/>
          <w:color w:val="auto"/>
          <w:kern w:val="2"/>
          <w:sz w:val="32"/>
          <w:szCs w:val="40"/>
          <w:highlight w:val="none"/>
          <w:lang w:val="en-US" w:eastAsia="zh-CN" w:bidi="ar-SA"/>
        </w:rPr>
        <w:t>智慧农业园区、数字农场（牧场、渔场）予以支持。持续推进探索产业数字化、农业公共服务数字化、农业社会化云服务新模式。支持无人机在喷药、施肥、播种等环节应用，推动农业领域低空经济发展。推动 “盐农云”深化应用，提升管理服务效能。加快发展现代化海洋牧场和智能化渔场，支持大丰三峡、射阳龙源风电利用风电桩基发展海上牧场养殖平台，探索“新能源+海洋牧场”融合发展模式。</w:t>
      </w:r>
      <w:r>
        <w:rPr>
          <w:rFonts w:hint="default" w:ascii="Times New Roman" w:hAnsi="Times New Roman" w:eastAsia="方正楷体_GBK" w:cs="Times New Roman"/>
          <w:snapToGrid/>
          <w:color w:val="auto"/>
          <w:kern w:val="2"/>
          <w:sz w:val="32"/>
          <w:szCs w:val="40"/>
          <w:highlight w:val="none"/>
          <w:lang w:val="en-US" w:eastAsia="zh-CN" w:bidi="ar-SA"/>
        </w:rPr>
        <w:t>（责任单位：市农业农村局、市财政局、市交通局）</w:t>
      </w:r>
    </w:p>
    <w:p w14:paraId="238EC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八、切实保障和改善民生</w:t>
      </w:r>
    </w:p>
    <w:p w14:paraId="095F599F">
      <w:pPr>
        <w:pStyle w:val="13"/>
        <w:keepNext w:val="0"/>
        <w:keepLines w:val="0"/>
        <w:pageBreakBefore w:val="0"/>
        <w:widowControl w:val="0"/>
        <w:kinsoku/>
        <w:wordWrap/>
        <w:overflowPunct/>
        <w:topLinePunct w:val="0"/>
        <w:autoSpaceDE/>
        <w:autoSpaceDN/>
        <w:bidi w:val="0"/>
        <w:spacing w:line="560" w:lineRule="exact"/>
        <w:ind w:firstLine="643"/>
        <w:jc w:val="both"/>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eastAsia" w:eastAsia="方正楷体_GBK" w:cs="Times New Roman"/>
          <w:color w:val="auto"/>
          <w:sz w:val="32"/>
          <w:szCs w:val="40"/>
          <w:highlight w:val="none"/>
          <w:lang w:val="en-US" w:eastAsia="zh-CN"/>
        </w:rPr>
        <w:t>29</w:t>
      </w:r>
      <w:r>
        <w:rPr>
          <w:rFonts w:hint="default" w:ascii="Times New Roman" w:hAnsi="Times New Roman" w:eastAsia="方正楷体_GBK" w:cs="Times New Roman"/>
          <w:color w:val="auto"/>
          <w:sz w:val="32"/>
          <w:szCs w:val="40"/>
          <w:highlight w:val="none"/>
          <w:lang w:val="en-US" w:eastAsia="zh-CN"/>
        </w:rPr>
        <w:t>. 健全就业优先政策。</w:t>
      </w:r>
      <w:r>
        <w:rPr>
          <w:rFonts w:hint="eastAsia" w:ascii="Times New Roman" w:hAnsi="Times New Roman" w:eastAsia="方正仿宋_GBK" w:cs="Times New Roman"/>
          <w:sz w:val="32"/>
          <w:szCs w:val="32"/>
          <w:highlight w:val="none"/>
          <w:lang w:val="en-US" w:eastAsia="zh-CN"/>
        </w:rPr>
        <w:t>加大公益性岗位开发力度，</w:t>
      </w:r>
      <w:r>
        <w:rPr>
          <w:rFonts w:hint="default" w:ascii="Times New Roman" w:hAnsi="Times New Roman" w:eastAsia="方正仿宋_GBK" w:cs="Times New Roman"/>
          <w:sz w:val="32"/>
          <w:szCs w:val="32"/>
          <w:highlight w:val="none"/>
          <w:lang w:val="en-US" w:eastAsia="zh-CN"/>
        </w:rPr>
        <w:t>帮助不少于1.3万名就业困难人员就业。强化基层公共就业服务阵地建设，年内新建标准化“家门口”就业服务站20个</w:t>
      </w:r>
      <w:r>
        <w:rPr>
          <w:rFonts w:hint="default" w:ascii="Times New Roman" w:hAnsi="Times New Roman"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促进高校毕业生、农民工等重点群体就业，推动离校未就业高校毕业生实名制登记和“1131”就业服务实现“两个100%”</w:t>
      </w:r>
      <w:r>
        <w:rPr>
          <w:rFonts w:hint="eastAsia" w:ascii="Times New Roman" w:hAnsi="Times New Roman"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全年举办各类专场和综合招聘活动1000场次以上</w:t>
      </w:r>
      <w:r>
        <w:rPr>
          <w:rFonts w:hint="eastAsia" w:ascii="Times New Roman" w:hAnsi="Times New Roman" w:cs="Times New Roman"/>
          <w:sz w:val="32"/>
          <w:szCs w:val="32"/>
          <w:highlight w:val="none"/>
          <w:lang w:val="en-US" w:eastAsia="zh-CN"/>
        </w:rPr>
        <w:t>，到2024年底，</w:t>
      </w:r>
      <w:r>
        <w:rPr>
          <w:rFonts w:hint="default" w:ascii="Times New Roman" w:hAnsi="Times New Roman" w:eastAsia="方正仿宋_GBK" w:cs="Times New Roman"/>
          <w:sz w:val="32"/>
          <w:szCs w:val="32"/>
          <w:highlight w:val="none"/>
          <w:lang w:val="en-US" w:eastAsia="zh-CN"/>
        </w:rPr>
        <w:t>城镇新增就业5.7万人以上</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楷体_GBK" w:cs="Times New Roman"/>
          <w:snapToGrid/>
          <w:color w:val="auto"/>
          <w:kern w:val="2"/>
          <w:sz w:val="32"/>
          <w:szCs w:val="40"/>
          <w:highlight w:val="none"/>
          <w:lang w:val="en-US" w:eastAsia="zh-CN" w:bidi="ar-SA"/>
        </w:rPr>
        <w:t>（责任单位：市人社局</w:t>
      </w:r>
      <w:r>
        <w:rPr>
          <w:rFonts w:hint="eastAsia" w:eastAsia="方正楷体_GBK" w:cs="Times New Roman"/>
          <w:snapToGrid/>
          <w:color w:val="auto"/>
          <w:kern w:val="2"/>
          <w:sz w:val="32"/>
          <w:szCs w:val="40"/>
          <w:highlight w:val="none"/>
          <w:lang w:val="en-US" w:eastAsia="zh-CN" w:bidi="ar-SA"/>
        </w:rPr>
        <w:t>、</w:t>
      </w:r>
      <w:r>
        <w:rPr>
          <w:rFonts w:hint="default" w:ascii="Times New Roman" w:hAnsi="Times New Roman" w:eastAsia="方正楷体_GBK" w:cs="Times New Roman"/>
          <w:snapToGrid/>
          <w:color w:val="auto"/>
          <w:kern w:val="2"/>
          <w:sz w:val="32"/>
          <w:szCs w:val="40"/>
          <w:highlight w:val="none"/>
          <w:lang w:val="en-US" w:eastAsia="zh-CN" w:bidi="ar-SA"/>
        </w:rPr>
        <w:t>市总工会）</w:t>
      </w:r>
    </w:p>
    <w:p w14:paraId="03F2DFD2">
      <w:pPr>
        <w:spacing w:line="560" w:lineRule="exact"/>
        <w:ind w:firstLine="640" w:firstLineChars="200"/>
        <w:rPr>
          <w:rFonts w:hint="default" w:ascii="Times New Roman" w:hAnsi="Times New Roman" w:eastAsia="方正楷体_GBK" w:cs="Times New Roman"/>
          <w:color w:val="auto"/>
          <w:sz w:val="32"/>
          <w:szCs w:val="40"/>
          <w:highlight w:val="none"/>
          <w:lang w:val="en-US" w:eastAsia="zh-CN"/>
        </w:rPr>
      </w:pPr>
      <w:r>
        <w:rPr>
          <w:rFonts w:hint="eastAsia" w:ascii="Times New Roman" w:hAnsi="Times New Roman" w:eastAsia="方正楷体_GBK" w:cs="Times New Roman"/>
          <w:color w:val="auto"/>
          <w:sz w:val="32"/>
          <w:szCs w:val="40"/>
          <w:highlight w:val="none"/>
          <w:lang w:val="en-US" w:eastAsia="zh-CN"/>
        </w:rPr>
        <w:t>30</w:t>
      </w:r>
      <w:r>
        <w:rPr>
          <w:rFonts w:hint="default" w:ascii="Times New Roman" w:hAnsi="Times New Roman" w:eastAsia="方正楷体_GBK" w:cs="Times New Roman"/>
          <w:color w:val="auto"/>
          <w:sz w:val="32"/>
          <w:szCs w:val="40"/>
          <w:highlight w:val="none"/>
          <w:lang w:val="en-US" w:eastAsia="zh-CN"/>
        </w:rPr>
        <w:t>. 提升公共服务水平。</w:t>
      </w:r>
      <w:r>
        <w:rPr>
          <w:rFonts w:hint="default" w:ascii="Times New Roman" w:hAnsi="Times New Roman" w:eastAsia="方正仿宋_GBK" w:cs="Times New Roman"/>
          <w:sz w:val="32"/>
          <w:szCs w:val="32"/>
          <w:highlight w:val="none"/>
          <w:lang w:val="en-US" w:eastAsia="zh-CN"/>
        </w:rPr>
        <w:t>有序扩大普通高中招生规模。</w:t>
      </w:r>
      <w:r>
        <w:rPr>
          <w:rFonts w:hint="eastAsia" w:ascii="Times New Roman" w:hAnsi="Times New Roman" w:eastAsia="方正仿宋_GBK" w:cs="Times New Roman"/>
          <w:sz w:val="32"/>
          <w:szCs w:val="32"/>
          <w:highlight w:val="none"/>
          <w:lang w:val="en-US" w:eastAsia="zh-CN"/>
        </w:rPr>
        <w:t>持续推进优质医疗资源扩容，切实</w:t>
      </w:r>
      <w:r>
        <w:rPr>
          <w:rFonts w:hint="default" w:ascii="Times New Roman" w:hAnsi="Times New Roman" w:eastAsia="方正仿宋_GBK" w:cs="Times New Roman"/>
          <w:sz w:val="32"/>
          <w:szCs w:val="32"/>
          <w:highlight w:val="none"/>
          <w:lang w:val="en-US" w:eastAsia="zh-CN"/>
        </w:rPr>
        <w:t>减轻困难群众重特大疾病医疗费用负担，保障范围由住院保障拓展到门诊保障，最低救助比例由70%提高到80%。</w:t>
      </w:r>
      <w:r>
        <w:rPr>
          <w:rFonts w:hint="default" w:ascii="Times New Roman" w:hAnsi="Times New Roman" w:eastAsia="方正仿宋_GBK" w:cs="Times New Roman"/>
          <w:color w:val="auto"/>
          <w:kern w:val="2"/>
          <w:sz w:val="32"/>
          <w:szCs w:val="32"/>
          <w:highlight w:val="none"/>
          <w:lang w:eastAsia="zh-CN"/>
        </w:rPr>
        <w:t>实施</w:t>
      </w:r>
      <w:r>
        <w:rPr>
          <w:rFonts w:hint="default" w:ascii="Times New Roman" w:hAnsi="Times New Roman" w:eastAsia="方正仿宋_GBK" w:cs="Times New Roman"/>
          <w:color w:val="auto"/>
          <w:kern w:val="2"/>
          <w:sz w:val="32"/>
          <w:szCs w:val="32"/>
          <w:highlight w:val="none"/>
        </w:rPr>
        <w:t>医共体高质量发展三年行动</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rPr>
        <w:t>到2025年底，全市基本建成紧密型县域数字化医共体。</w:t>
      </w:r>
      <w:r>
        <w:rPr>
          <w:rFonts w:hint="default" w:ascii="Times New Roman" w:hAnsi="Times New Roman" w:eastAsia="方正仿宋_GBK" w:cs="Times New Roman"/>
          <w:sz w:val="32"/>
          <w:szCs w:val="32"/>
          <w:highlight w:val="none"/>
          <w:lang w:val="en-US" w:eastAsia="zh-CN"/>
        </w:rPr>
        <w:t>聚焦</w:t>
      </w:r>
      <w:r>
        <w:rPr>
          <w:rFonts w:hint="default" w:ascii="Times New Roman" w:hAnsi="Times New Roman" w:eastAsia="方正仿宋_GBK" w:cs="Times New Roman"/>
          <w:color w:val="auto"/>
          <w:kern w:val="2"/>
          <w:sz w:val="32"/>
          <w:szCs w:val="32"/>
          <w:highlight w:val="none"/>
          <w:lang w:val="en-US" w:eastAsia="zh-CN" w:bidi="ar-SA"/>
        </w:rPr>
        <w:t>加大优质医疗资源</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下沉</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力度，组织城市三级医院选派副高职称及以上专家到县域医共体牵头县级医院驻点帮扶，推动全市达到国家服务能力推荐标准的县级医院达100%</w:t>
      </w:r>
      <w:r>
        <w:rPr>
          <w:rFonts w:hint="eastAsia" w:ascii="Times New Roman" w:hAnsi="Times New Roman" w:eastAsia="方正仿宋_GBK" w:cs="Times New Roman"/>
          <w:color w:val="auto"/>
          <w:kern w:val="2"/>
          <w:sz w:val="32"/>
          <w:szCs w:val="32"/>
          <w:highlight w:val="none"/>
          <w:lang w:val="en-US" w:eastAsia="zh-CN" w:bidi="ar-SA"/>
        </w:rPr>
        <w:t>。实现社保卡各类民生待遇发放全面入卡，确保社保卡免费或优惠享受交通出行、旅游观光、文化体验等服务清单。</w:t>
      </w:r>
      <w:r>
        <w:rPr>
          <w:rFonts w:hint="default" w:ascii="Times New Roman" w:hAnsi="Times New Roman" w:eastAsia="方正楷体_GBK" w:cs="Times New Roman"/>
          <w:snapToGrid/>
          <w:color w:val="auto"/>
          <w:kern w:val="2"/>
          <w:sz w:val="32"/>
          <w:szCs w:val="40"/>
          <w:highlight w:val="none"/>
          <w:lang w:val="en-US" w:eastAsia="zh-CN" w:bidi="ar-SA"/>
        </w:rPr>
        <w:t>（责任单位：市卫健委、市人社局、市教育局、市医保局、市财政局）</w:t>
      </w:r>
    </w:p>
    <w:p w14:paraId="7E9B9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3</w:t>
      </w:r>
      <w:r>
        <w:rPr>
          <w:rFonts w:hint="eastAsia" w:ascii="Times New Roman" w:hAnsi="Times New Roman" w:eastAsia="方正楷体_GBK" w:cs="Times New Roman"/>
          <w:color w:val="auto"/>
          <w:sz w:val="32"/>
          <w:szCs w:val="40"/>
          <w:highlight w:val="none"/>
          <w:lang w:val="en-US" w:eastAsia="zh-CN"/>
        </w:rPr>
        <w:t>1</w:t>
      </w:r>
      <w:r>
        <w:rPr>
          <w:rFonts w:hint="default" w:ascii="Times New Roman" w:hAnsi="Times New Roman" w:eastAsia="方正楷体_GBK" w:cs="Times New Roman"/>
          <w:color w:val="auto"/>
          <w:sz w:val="32"/>
          <w:szCs w:val="40"/>
          <w:highlight w:val="none"/>
          <w:lang w:val="en-US" w:eastAsia="zh-CN"/>
        </w:rPr>
        <w:t>. 完善落实生育养育支持政策。</w:t>
      </w:r>
      <w:r>
        <w:rPr>
          <w:rFonts w:hint="default" w:ascii="Times New Roman" w:hAnsi="Times New Roman" w:eastAsia="方正仿宋_GBK" w:cs="Times New Roman"/>
          <w:sz w:val="32"/>
          <w:szCs w:val="32"/>
          <w:highlight w:val="none"/>
          <w:lang w:val="en-US" w:eastAsia="zh-CN"/>
        </w:rPr>
        <w:t>配套落实省出台的一孩、二孩、三孩家庭递进式财政补助政策，给予资金补助。推动县级托育综合服务中心建设，加快建设社区嵌入式托育点。加大财政投入力度，落实省、市普惠托育机构一次性奖补及市区普惠托育机构运营补贴政策。支持有条件地区对普惠托育机构给予一次性建设补贴。</w:t>
      </w:r>
      <w:r>
        <w:rPr>
          <w:rFonts w:hint="default" w:ascii="Times New Roman" w:hAnsi="Times New Roman" w:eastAsia="方正仿宋_GBK" w:cs="Times New Roman"/>
          <w:sz w:val="32"/>
          <w:szCs w:val="32"/>
          <w:highlight w:val="none"/>
        </w:rPr>
        <w:t>落实生殖辅助、分娩镇痛等项目纳入医保报销政策，到2025年底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逐步增加产前检查医保报销项目、扩大辅助生殖技术纳入甲类或乙类支付范畴。</w:t>
      </w:r>
      <w:r>
        <w:rPr>
          <w:rFonts w:hint="default" w:ascii="Times New Roman" w:hAnsi="Times New Roman" w:eastAsia="方正楷体_GBK" w:cs="Times New Roman"/>
          <w:snapToGrid/>
          <w:color w:val="auto"/>
          <w:kern w:val="2"/>
          <w:sz w:val="32"/>
          <w:szCs w:val="40"/>
          <w:highlight w:val="none"/>
          <w:lang w:val="en-US" w:eastAsia="zh-CN" w:bidi="ar-SA"/>
        </w:rPr>
        <w:t>（责任单位：市卫健委、市教育局、市人社局、市医保局、市财政局）</w:t>
      </w:r>
    </w:p>
    <w:p w14:paraId="350C89D9">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color w:val="auto"/>
          <w:sz w:val="32"/>
          <w:szCs w:val="40"/>
          <w:highlight w:val="none"/>
          <w:lang w:val="en-US" w:eastAsia="zh-CN"/>
        </w:rPr>
        <w:t>3</w:t>
      </w:r>
      <w:r>
        <w:rPr>
          <w:rFonts w:hint="eastAsia" w:ascii="Times New Roman" w:hAnsi="Times New Roman" w:eastAsia="方正楷体_GBK" w:cs="Times New Roman"/>
          <w:color w:val="auto"/>
          <w:sz w:val="32"/>
          <w:szCs w:val="40"/>
          <w:highlight w:val="none"/>
          <w:lang w:val="en-US" w:eastAsia="zh-CN"/>
        </w:rPr>
        <w:t>2</w:t>
      </w:r>
      <w:r>
        <w:rPr>
          <w:rFonts w:hint="default" w:ascii="Times New Roman" w:hAnsi="Times New Roman" w:eastAsia="方正楷体_GBK" w:cs="Times New Roman"/>
          <w:color w:val="auto"/>
          <w:sz w:val="32"/>
          <w:szCs w:val="40"/>
          <w:highlight w:val="none"/>
          <w:lang w:val="en-US" w:eastAsia="zh-CN"/>
        </w:rPr>
        <w:t>. 扎实推进以人为本的新型城镇化。</w:t>
      </w:r>
      <w:r>
        <w:rPr>
          <w:rFonts w:hint="eastAsia" w:ascii="Times New Roman" w:hAnsi="Times New Roman" w:eastAsia="方正仿宋_GBK" w:cs="Times New Roman"/>
          <w:sz w:val="32"/>
          <w:szCs w:val="32"/>
          <w:highlight w:val="none"/>
          <w:lang w:val="en-US" w:eastAsia="zh-CN"/>
        </w:rPr>
        <w:t>加强现有户籍政策宣传，优化人口管理“放管服”举措，保障来盐定居人员户籍“愿落尽落”。全面落实省、市新版基本公共服务实施标准，不断提高非户籍人口在教育、医疗、养老、社保等方面的实际享有水平。严格落实“两为主、两纳入、以居住证为主要依据”的随迁子女入学政策，保障每一名适龄随迁子女均能享受到义务教育公办学位。探索建立新增城镇建设用地指标配置同常住人口增加协调机制，优化城市工商业土地利用，推动土地综合开发利用、用途合理转换。</w:t>
      </w:r>
      <w:r>
        <w:rPr>
          <w:rFonts w:hint="eastAsia" w:ascii="方正楷体_GBK" w:hAnsi="方正楷体_GBK" w:eastAsia="方正楷体_GBK" w:cs="方正楷体_GBK"/>
          <w:sz w:val="32"/>
          <w:szCs w:val="32"/>
          <w:highlight w:val="none"/>
          <w:lang w:val="en-US" w:eastAsia="zh-CN"/>
        </w:rPr>
        <w:t>（责任单位：市公安局、市发改委、市教育局、市自然资源和规划局等部门）</w:t>
      </w:r>
    </w:p>
    <w:p w14:paraId="607061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九、强化优质金融服务供给</w:t>
      </w:r>
    </w:p>
    <w:p w14:paraId="6073F8D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3</w:t>
      </w:r>
      <w:r>
        <w:rPr>
          <w:rFonts w:hint="eastAsia" w:ascii="Times New Roman" w:hAnsi="Times New Roman" w:eastAsia="方正楷体_GBK" w:cs="Times New Roman"/>
          <w:color w:val="auto"/>
          <w:sz w:val="32"/>
          <w:szCs w:val="40"/>
          <w:highlight w:val="none"/>
          <w:lang w:val="en-US" w:eastAsia="zh-CN"/>
        </w:rPr>
        <w:t>3</w:t>
      </w:r>
      <w:r>
        <w:rPr>
          <w:rFonts w:hint="default" w:ascii="Times New Roman" w:hAnsi="Times New Roman" w:eastAsia="方正楷体_GBK" w:cs="Times New Roman"/>
          <w:color w:val="auto"/>
          <w:sz w:val="32"/>
          <w:szCs w:val="40"/>
          <w:highlight w:val="none"/>
          <w:lang w:val="en-US" w:eastAsia="zh-CN"/>
        </w:rPr>
        <w:t>. 降低企业融资成本。</w:t>
      </w:r>
      <w:r>
        <w:rPr>
          <w:rFonts w:ascii="Times New Roman" w:hAnsi="Times New Roman" w:eastAsia="方正仿宋_GBK"/>
          <w:kern w:val="2"/>
          <w:sz w:val="32"/>
          <w:szCs w:val="32"/>
          <w:highlight w:val="none"/>
        </w:rPr>
        <w:t>引导银行机构稳定信贷存量、扩大信贷增量，</w:t>
      </w:r>
      <w:r>
        <w:rPr>
          <w:rFonts w:hint="eastAsia" w:ascii="Times New Roman" w:hAnsi="Times New Roman" w:eastAsia="方正仿宋_GBK"/>
          <w:kern w:val="2"/>
          <w:sz w:val="32"/>
          <w:szCs w:val="32"/>
          <w:highlight w:val="none"/>
        </w:rPr>
        <w:t>重点投向“</w:t>
      </w:r>
      <w:r>
        <w:rPr>
          <w:rFonts w:ascii="Times New Roman" w:hAnsi="Times New Roman" w:eastAsia="方正仿宋_GBK"/>
          <w:kern w:val="2"/>
          <w:sz w:val="32"/>
          <w:szCs w:val="32"/>
          <w:highlight w:val="none"/>
        </w:rPr>
        <w:t>5+2</w:t>
      </w:r>
      <w:r>
        <w:rPr>
          <w:rFonts w:hint="eastAsia" w:ascii="Times New Roman" w:hAnsi="Times New Roman" w:eastAsia="方正仿宋_GBK"/>
          <w:kern w:val="2"/>
          <w:sz w:val="32"/>
          <w:szCs w:val="32"/>
          <w:highlight w:val="none"/>
        </w:rPr>
        <w:t>”</w:t>
      </w:r>
      <w:r>
        <w:rPr>
          <w:rFonts w:ascii="Times New Roman" w:hAnsi="Times New Roman" w:eastAsia="方正仿宋_GBK"/>
          <w:kern w:val="2"/>
          <w:sz w:val="32"/>
          <w:szCs w:val="32"/>
          <w:highlight w:val="none"/>
        </w:rPr>
        <w:t>战略性新兴产业和23条重点产业链，</w:t>
      </w:r>
      <w:r>
        <w:rPr>
          <w:rFonts w:hint="eastAsia" w:ascii="Times New Roman" w:hAnsi="Times New Roman" w:eastAsia="方正仿宋_GBK"/>
          <w:kern w:val="2"/>
          <w:sz w:val="32"/>
          <w:szCs w:val="32"/>
          <w:highlight w:val="none"/>
          <w:lang w:eastAsia="zh-CN"/>
        </w:rPr>
        <w:t>到</w:t>
      </w:r>
      <w:r>
        <w:rPr>
          <w:rFonts w:hint="eastAsia" w:ascii="Times New Roman" w:hAnsi="Times New Roman" w:eastAsia="方正仿宋_GBK"/>
          <w:kern w:val="2"/>
          <w:sz w:val="32"/>
          <w:szCs w:val="32"/>
          <w:highlight w:val="none"/>
          <w:lang w:val="en-US" w:eastAsia="zh-CN"/>
        </w:rPr>
        <w:t>2024年底，各项贷款余额增速不低</w:t>
      </w:r>
      <w:r>
        <w:rPr>
          <w:rFonts w:hint="eastAsia" w:ascii="Times New Roman" w:hAnsi="Times New Roman" w:eastAsia="方正仿宋_GBK"/>
          <w:kern w:val="2"/>
          <w:sz w:val="32"/>
          <w:szCs w:val="32"/>
          <w:highlight w:val="none"/>
          <w:lang w:val="en-US" w:eastAsia="zh-CN"/>
        </w:rPr>
        <w:t>于16%，</w:t>
      </w:r>
      <w:r>
        <w:rPr>
          <w:rFonts w:ascii="Times New Roman" w:hAnsi="Times New Roman" w:eastAsia="方正仿宋_GBK"/>
          <w:bCs/>
          <w:kern w:val="2"/>
          <w:sz w:val="32"/>
          <w:szCs w:val="32"/>
          <w:highlight w:val="none"/>
        </w:rPr>
        <w:t>力争贷款</w:t>
      </w:r>
      <w:r>
        <w:rPr>
          <w:rFonts w:hint="eastAsia" w:ascii="Times New Roman" w:hAnsi="Times New Roman" w:eastAsia="方正仿宋_GBK"/>
          <w:bCs/>
          <w:kern w:val="2"/>
          <w:sz w:val="32"/>
          <w:szCs w:val="32"/>
          <w:highlight w:val="none"/>
          <w:lang w:eastAsia="zh-CN"/>
        </w:rPr>
        <w:t>余额</w:t>
      </w:r>
      <w:r>
        <w:rPr>
          <w:rFonts w:ascii="Times New Roman" w:hAnsi="Times New Roman" w:eastAsia="方正仿宋_GBK"/>
          <w:bCs/>
          <w:kern w:val="2"/>
          <w:sz w:val="32"/>
          <w:szCs w:val="32"/>
          <w:highlight w:val="none"/>
        </w:rPr>
        <w:t>达</w:t>
      </w:r>
      <w:r>
        <w:rPr>
          <w:rFonts w:ascii="Times New Roman" w:hAnsi="Times New Roman" w:eastAsia="方正仿宋_GBK"/>
          <w:bCs/>
          <w:kern w:val="2"/>
          <w:sz w:val="32"/>
          <w:szCs w:val="32"/>
          <w:highlight w:val="none"/>
        </w:rPr>
        <w:t>到</w:t>
      </w:r>
      <w:r>
        <w:rPr>
          <w:rFonts w:hint="eastAsia" w:ascii="Times New Roman" w:hAnsi="Times New Roman" w:eastAsia="方正仿宋_GBK"/>
          <w:bCs/>
          <w:kern w:val="2"/>
          <w:sz w:val="32"/>
          <w:szCs w:val="32"/>
          <w:highlight w:val="none"/>
          <w:lang w:val="en-US" w:eastAsia="zh-CN"/>
        </w:rPr>
        <w:t>1.3万</w:t>
      </w:r>
      <w:r>
        <w:rPr>
          <w:rFonts w:ascii="Times New Roman" w:hAnsi="Times New Roman" w:eastAsia="方正仿宋_GBK"/>
          <w:bCs/>
          <w:kern w:val="2"/>
          <w:sz w:val="32"/>
          <w:szCs w:val="32"/>
          <w:highlight w:val="none"/>
        </w:rPr>
        <w:t>亿元</w:t>
      </w:r>
      <w:r>
        <w:rPr>
          <w:rFonts w:hint="eastAsia" w:ascii="Times New Roman" w:hAnsi="Times New Roman" w:eastAsia="方正仿宋_GBK"/>
          <w:bCs/>
          <w:kern w:val="2"/>
          <w:sz w:val="32"/>
          <w:szCs w:val="32"/>
          <w:highlight w:val="none"/>
          <w:lang w:eastAsia="zh-CN"/>
        </w:rPr>
        <w:t>。</w:t>
      </w:r>
      <w:r>
        <w:rPr>
          <w:rFonts w:hint="default" w:ascii="Times New Roman" w:hAnsi="Times New Roman" w:eastAsia="方正仿宋_GBK" w:cs="Times New Roman"/>
          <w:color w:val="auto"/>
          <w:sz w:val="32"/>
          <w:szCs w:val="40"/>
          <w:highlight w:val="none"/>
          <w:lang w:val="en-US" w:eastAsia="zh-CN"/>
        </w:rPr>
        <w:t>降低制造业贷款、专精特新贷、设备担等申报门槛，</w:t>
      </w:r>
      <w:r>
        <w:rPr>
          <w:rFonts w:hint="eastAsia" w:ascii="Times New Roman" w:hAnsi="Times New Roman" w:eastAsia="方正仿宋_GBK" w:cs="Times New Roman"/>
          <w:color w:val="auto"/>
          <w:sz w:val="32"/>
          <w:szCs w:val="40"/>
          <w:highlight w:val="none"/>
          <w:lang w:val="en-US" w:eastAsia="zh-CN"/>
        </w:rPr>
        <w:t>对符合条件的小微企业贷款给予不超过年化1%的贴息支持。</w:t>
      </w:r>
      <w:r>
        <w:rPr>
          <w:rFonts w:hint="default" w:ascii="Times New Roman" w:hAnsi="Times New Roman" w:eastAsia="方正仿宋_GBK" w:cs="Times New Roman"/>
          <w:color w:val="auto"/>
          <w:sz w:val="32"/>
          <w:szCs w:val="40"/>
          <w:highlight w:val="none"/>
          <w:lang w:val="en-US" w:eastAsia="zh-CN"/>
        </w:rPr>
        <w:t>创新设立支持服务个体工商户“盐个贷”产品，争取2024年底产品贷款规模2亿元以上。</w:t>
      </w:r>
      <w:r>
        <w:rPr>
          <w:rFonts w:hint="eastAsia" w:ascii="Times New Roman" w:hAnsi="Times New Roman" w:eastAsia="方正仿宋_GBK" w:cs="Times New Roman"/>
          <w:color w:val="auto"/>
          <w:sz w:val="32"/>
          <w:szCs w:val="40"/>
          <w:highlight w:val="none"/>
          <w:lang w:val="en-US" w:eastAsia="zh-CN"/>
        </w:rPr>
        <w:t>支持“无还本续贷”抵押登记。</w:t>
      </w:r>
      <w:r>
        <w:rPr>
          <w:rFonts w:hint="default" w:ascii="Times New Roman" w:hAnsi="Times New Roman" w:eastAsia="方正楷体_GBK" w:cs="Times New Roman"/>
          <w:snapToGrid/>
          <w:color w:val="auto"/>
          <w:kern w:val="2"/>
          <w:sz w:val="32"/>
          <w:szCs w:val="40"/>
          <w:highlight w:val="none"/>
          <w:lang w:val="en-US" w:eastAsia="zh-CN" w:bidi="ar-SA"/>
        </w:rPr>
        <w:t>（责任单位：市政府办、人民银行盐城市分行、国家金融监管总局盐城监管分局、市财政局）</w:t>
      </w:r>
    </w:p>
    <w:p w14:paraId="6B6542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3</w:t>
      </w:r>
      <w:r>
        <w:rPr>
          <w:rFonts w:hint="eastAsia" w:ascii="Times New Roman" w:hAnsi="Times New Roman" w:eastAsia="方正楷体_GBK" w:cs="Times New Roman"/>
          <w:color w:val="auto"/>
          <w:sz w:val="32"/>
          <w:szCs w:val="40"/>
          <w:highlight w:val="none"/>
          <w:lang w:val="en-US" w:eastAsia="zh-CN"/>
        </w:rPr>
        <w:t>4</w:t>
      </w:r>
      <w:r>
        <w:rPr>
          <w:rFonts w:hint="default" w:ascii="Times New Roman" w:hAnsi="Times New Roman" w:eastAsia="方正楷体_GBK" w:cs="Times New Roman"/>
          <w:color w:val="auto"/>
          <w:sz w:val="32"/>
          <w:szCs w:val="40"/>
          <w:highlight w:val="none"/>
          <w:lang w:val="en-US" w:eastAsia="zh-CN"/>
        </w:rPr>
        <w:t>. 增强金融资源服务能力。</w:t>
      </w:r>
      <w:r>
        <w:rPr>
          <w:rFonts w:hint="default" w:ascii="Times New Roman" w:hAnsi="Times New Roman" w:eastAsia="方正仿宋_GBK" w:cs="Times New Roman"/>
          <w:color w:val="auto"/>
          <w:sz w:val="32"/>
          <w:szCs w:val="40"/>
          <w:highlight w:val="none"/>
          <w:lang w:val="en-US" w:eastAsia="zh-CN"/>
        </w:rPr>
        <w:t>深化地方征信平台应用推进省市数据共享融合，引导金融机构依托平台数据创新小微金融产品，不断拓展应用场景，推动融资服务提质增效。力争2024年底，推动平台入驻各类金融机构64家，归集超14万余户企业及个体工商户等主体基本信息与经营信息，撮合授信超300亿元。政府性融资担保机构对民营企业的业务比重原则上不低于80%。推动落实城市房地产融资协调机制，加强对保交房项目的金融支持，对符合要求的保交房“白名单”项目“应贷尽贷”“应贷快贷”。</w:t>
      </w:r>
      <w:r>
        <w:rPr>
          <w:rFonts w:hint="default" w:ascii="Times New Roman" w:hAnsi="Times New Roman" w:eastAsia="方正楷体_GBK" w:cs="Times New Roman"/>
          <w:snapToGrid/>
          <w:color w:val="auto"/>
          <w:kern w:val="2"/>
          <w:sz w:val="32"/>
          <w:szCs w:val="40"/>
          <w:highlight w:val="none"/>
          <w:lang w:val="en-US" w:eastAsia="zh-CN" w:bidi="ar-SA"/>
        </w:rPr>
        <w:t>（责任单位：市政府办、市财政局、人民银行盐城市分行、国家金融监管总局盐城监管分局）</w:t>
      </w:r>
    </w:p>
    <w:p w14:paraId="63124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40"/>
          <w:highlight w:val="none"/>
          <w:lang w:val="en-US" w:eastAsia="zh-CN"/>
        </w:rPr>
      </w:pPr>
      <w:r>
        <w:rPr>
          <w:rFonts w:hint="default" w:ascii="Times New Roman" w:hAnsi="Times New Roman" w:eastAsia="方正黑体_GBK" w:cs="Times New Roman"/>
          <w:color w:val="auto"/>
          <w:sz w:val="32"/>
          <w:szCs w:val="40"/>
          <w:highlight w:val="none"/>
          <w:lang w:val="en-US" w:eastAsia="zh-CN"/>
        </w:rPr>
        <w:t>十、提升政务服务效能</w:t>
      </w:r>
    </w:p>
    <w:p w14:paraId="2317BC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napToGrid/>
          <w:color w:val="auto"/>
          <w:kern w:val="2"/>
          <w:sz w:val="32"/>
          <w:szCs w:val="40"/>
          <w:highlight w:val="none"/>
          <w:lang w:val="en-US" w:eastAsia="zh-CN" w:bidi="ar-SA"/>
        </w:rPr>
      </w:pPr>
      <w:r>
        <w:rPr>
          <w:rFonts w:hint="default" w:ascii="Times New Roman" w:hAnsi="Times New Roman" w:eastAsia="方正楷体_GBK" w:cs="Times New Roman"/>
          <w:color w:val="auto"/>
          <w:sz w:val="32"/>
          <w:szCs w:val="40"/>
          <w:highlight w:val="none"/>
          <w:lang w:val="en-US" w:eastAsia="zh-CN"/>
        </w:rPr>
        <w:t>3</w:t>
      </w:r>
      <w:r>
        <w:rPr>
          <w:rFonts w:hint="eastAsia" w:ascii="Times New Roman" w:hAnsi="Times New Roman" w:eastAsia="方正楷体_GBK" w:cs="Times New Roman"/>
          <w:color w:val="auto"/>
          <w:sz w:val="32"/>
          <w:szCs w:val="40"/>
          <w:highlight w:val="none"/>
          <w:lang w:val="en-US" w:eastAsia="zh-CN"/>
        </w:rPr>
        <w:t>5</w:t>
      </w:r>
      <w:r>
        <w:rPr>
          <w:rFonts w:hint="default" w:ascii="Times New Roman" w:hAnsi="Times New Roman" w:eastAsia="方正楷体_GBK" w:cs="Times New Roman"/>
          <w:color w:val="auto"/>
          <w:sz w:val="32"/>
          <w:szCs w:val="40"/>
          <w:highlight w:val="none"/>
          <w:lang w:val="en-US" w:eastAsia="zh-CN"/>
        </w:rPr>
        <w:t>. 持续优化企业服务。</w:t>
      </w:r>
      <w:r>
        <w:rPr>
          <w:rFonts w:hint="default" w:ascii="Times New Roman" w:hAnsi="Times New Roman" w:eastAsia="方正仿宋_GBK" w:cs="Times New Roman"/>
          <w:sz w:val="32"/>
          <w:szCs w:val="32"/>
          <w:highlight w:val="none"/>
          <w:lang w:val="en-US" w:eastAsia="zh-CN"/>
        </w:rPr>
        <w:t>出台降低全社会物流成本实施方案和支持物流业高质量发展</w:t>
      </w:r>
      <w:r>
        <w:rPr>
          <w:rFonts w:hint="eastAsia" w:ascii="Times New Roman" w:hAnsi="Times New Roman" w:eastAsia="方正仿宋_GBK" w:cs="Times New Roman"/>
          <w:sz w:val="32"/>
          <w:szCs w:val="32"/>
          <w:highlight w:val="none"/>
          <w:lang w:val="en-US" w:eastAsia="zh-CN"/>
        </w:rPr>
        <w:t>12条</w:t>
      </w:r>
      <w:r>
        <w:rPr>
          <w:rFonts w:hint="default" w:ascii="Times New Roman" w:hAnsi="Times New Roman" w:eastAsia="方正仿宋_GBK" w:cs="Times New Roman"/>
          <w:sz w:val="32"/>
          <w:szCs w:val="32"/>
          <w:highlight w:val="none"/>
          <w:lang w:val="en-US" w:eastAsia="zh-CN"/>
        </w:rPr>
        <w:t>政策措施，</w:t>
      </w:r>
      <w:r>
        <w:rPr>
          <w:rFonts w:hint="default" w:ascii="Times New Roman" w:hAnsi="Times New Roman" w:eastAsia="方正仿宋_GBK" w:cs="Times New Roman"/>
          <w:color w:val="auto"/>
          <w:sz w:val="32"/>
          <w:szCs w:val="40"/>
          <w:highlight w:val="none"/>
          <w:lang w:val="en-US" w:eastAsia="zh-CN"/>
        </w:rPr>
        <w:t>进一步推进物流降</w:t>
      </w:r>
      <w:r>
        <w:rPr>
          <w:rFonts w:hint="default" w:ascii="Times New Roman" w:hAnsi="Times New Roman" w:eastAsia="方正仿宋_GBK" w:cs="Times New Roman"/>
          <w:color w:val="auto"/>
          <w:sz w:val="32"/>
          <w:szCs w:val="40"/>
          <w:highlight w:val="none"/>
          <w:lang w:val="en-US" w:eastAsia="zh-CN"/>
        </w:rPr>
        <w:t>本增效</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到2025年，社会物流总费用占GDP比率力争降至12.8%左右。</w:t>
      </w:r>
      <w:r>
        <w:rPr>
          <w:rFonts w:hint="default" w:ascii="Times New Roman" w:hAnsi="Times New Roman" w:eastAsia="方正仿宋_GBK" w:cs="Times New Roman"/>
          <w:sz w:val="32"/>
          <w:szCs w:val="32"/>
          <w:highlight w:val="none"/>
          <w:lang w:val="en-US" w:eastAsia="zh-CN"/>
        </w:rPr>
        <w:t>落实315千伏安及以上工业用电夏、冬季尖峰电价以及重大节日深谷电价政策，降低企业生产经营成本。</w:t>
      </w:r>
      <w:r>
        <w:rPr>
          <w:rFonts w:hint="eastAsia" w:ascii="Times New Roman" w:hAnsi="Times New Roman" w:eastAsia="方正仿宋_GBK" w:cs="Times New Roman"/>
          <w:sz w:val="32"/>
          <w:szCs w:val="32"/>
          <w:highlight w:val="none"/>
          <w:lang w:val="en-US" w:eastAsia="zh-CN"/>
        </w:rPr>
        <w:t>深入推进“高效办成一件事”改革，精简规范工程建设项目审批事项和流程</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40"/>
          <w:highlight w:val="none"/>
          <w:lang w:val="en-US" w:eastAsia="zh-CN"/>
        </w:rPr>
        <w:t>建立统一规范的公平竞争审查机制，从源头防范和制止排除、限制竞争行</w:t>
      </w:r>
      <w:r>
        <w:rPr>
          <w:rFonts w:hint="default" w:ascii="Times New Roman" w:hAnsi="Times New Roman" w:eastAsia="方正仿宋_GBK" w:cs="Times New Roman"/>
          <w:color w:val="auto"/>
          <w:sz w:val="32"/>
          <w:szCs w:val="40"/>
          <w:highlight w:val="none"/>
          <w:lang w:val="en-US" w:eastAsia="zh-CN"/>
        </w:rPr>
        <w:t>为。</w:t>
      </w:r>
      <w:r>
        <w:rPr>
          <w:rFonts w:hint="eastAsia" w:ascii="方正仿宋_GBK" w:hAnsi="方正仿宋_GBK" w:eastAsia="方正仿宋_GBK" w:cs="方正仿宋_GBK"/>
          <w:color w:val="auto"/>
          <w:sz w:val="32"/>
          <w:szCs w:val="40"/>
          <w:highlight w:val="none"/>
          <w:lang w:val="en-US" w:eastAsia="zh-CN"/>
        </w:rPr>
        <w:t>纵深推进数字政府建设，完善政务服务集成应用，建设政务信息系统综合性平台，实现政务服务事项全市通办。</w:t>
      </w:r>
      <w:r>
        <w:rPr>
          <w:rFonts w:hint="default" w:ascii="Times New Roman" w:hAnsi="Times New Roman" w:eastAsia="方正楷体_GBK" w:cs="Times New Roman"/>
          <w:snapToGrid/>
          <w:color w:val="auto"/>
          <w:kern w:val="2"/>
          <w:sz w:val="32"/>
          <w:szCs w:val="40"/>
          <w:highlight w:val="none"/>
          <w:lang w:val="en-US" w:eastAsia="zh-CN" w:bidi="ar-SA"/>
        </w:rPr>
        <w:t>（责任单位：市发改委</w:t>
      </w:r>
      <w:r>
        <w:rPr>
          <w:rFonts w:hint="eastAsia" w:ascii="Times New Roman" w:hAnsi="Times New Roman" w:eastAsia="方正楷体_GBK" w:cs="Times New Roman"/>
          <w:snapToGrid/>
          <w:color w:val="auto"/>
          <w:kern w:val="2"/>
          <w:sz w:val="32"/>
          <w:szCs w:val="40"/>
          <w:highlight w:val="none"/>
          <w:lang w:val="en-US" w:eastAsia="zh-CN" w:bidi="ar-SA"/>
        </w:rPr>
        <w:t>、市工信局</w:t>
      </w:r>
      <w:r>
        <w:rPr>
          <w:rFonts w:hint="default" w:ascii="Times New Roman" w:hAnsi="Times New Roman" w:eastAsia="方正楷体_GBK" w:cs="Times New Roman"/>
          <w:snapToGrid/>
          <w:color w:val="auto"/>
          <w:kern w:val="2"/>
          <w:sz w:val="32"/>
          <w:szCs w:val="40"/>
          <w:highlight w:val="none"/>
          <w:lang w:val="en-US" w:eastAsia="zh-CN" w:bidi="ar-SA"/>
        </w:rPr>
        <w:t>、</w:t>
      </w:r>
      <w:r>
        <w:rPr>
          <w:rFonts w:hint="eastAsia" w:ascii="Times New Roman" w:hAnsi="Times New Roman" w:eastAsia="方正楷体_GBK" w:cs="Times New Roman"/>
          <w:snapToGrid/>
          <w:color w:val="auto"/>
          <w:kern w:val="2"/>
          <w:sz w:val="32"/>
          <w:szCs w:val="40"/>
          <w:highlight w:val="none"/>
          <w:lang w:val="en-US" w:eastAsia="zh-CN" w:bidi="ar-SA"/>
        </w:rPr>
        <w:t>市交通局、市数据局、</w:t>
      </w:r>
      <w:r>
        <w:rPr>
          <w:rFonts w:hint="default" w:ascii="Times New Roman" w:hAnsi="Times New Roman" w:eastAsia="方正楷体_GBK" w:cs="Times New Roman"/>
          <w:snapToGrid/>
          <w:color w:val="auto"/>
          <w:kern w:val="2"/>
          <w:sz w:val="32"/>
          <w:szCs w:val="40"/>
          <w:highlight w:val="none"/>
          <w:lang w:val="en-US" w:eastAsia="zh-CN" w:bidi="ar-SA"/>
        </w:rPr>
        <w:t>市市场监管局等有关部门）</w:t>
      </w:r>
    </w:p>
    <w:p w14:paraId="58D6700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40"/>
          <w:highlight w:val="none"/>
          <w:lang w:val="en-US" w:eastAsia="zh-CN"/>
        </w:rPr>
      </w:pPr>
      <w:r>
        <w:rPr>
          <w:rFonts w:hint="default" w:ascii="Times New Roman" w:hAnsi="Times New Roman" w:eastAsia="方正楷体_GBK" w:cs="Times New Roman"/>
          <w:color w:val="auto"/>
          <w:sz w:val="32"/>
          <w:szCs w:val="40"/>
          <w:highlight w:val="none"/>
          <w:lang w:val="en-US" w:eastAsia="zh-CN"/>
        </w:rPr>
        <w:t>3</w:t>
      </w:r>
      <w:r>
        <w:rPr>
          <w:rFonts w:hint="eastAsia" w:ascii="Times New Roman" w:hAnsi="Times New Roman" w:eastAsia="方正楷体_GBK" w:cs="Times New Roman"/>
          <w:color w:val="auto"/>
          <w:sz w:val="32"/>
          <w:szCs w:val="40"/>
          <w:highlight w:val="none"/>
          <w:lang w:val="en-US" w:eastAsia="zh-CN"/>
        </w:rPr>
        <w:t>6</w:t>
      </w:r>
      <w:r>
        <w:rPr>
          <w:rFonts w:hint="default" w:ascii="Times New Roman" w:hAnsi="Times New Roman" w:eastAsia="方正楷体_GBK" w:cs="Times New Roman"/>
          <w:color w:val="auto"/>
          <w:sz w:val="32"/>
          <w:szCs w:val="40"/>
          <w:highlight w:val="none"/>
          <w:lang w:val="en-US" w:eastAsia="zh-CN"/>
        </w:rPr>
        <w:t>. 提升行政执法质量。</w:t>
      </w:r>
      <w:r>
        <w:rPr>
          <w:rFonts w:hint="default" w:ascii="Times New Roman" w:hAnsi="Times New Roman" w:eastAsia="方正仿宋_GBK" w:cs="Times New Roman"/>
          <w:sz w:val="32"/>
          <w:szCs w:val="32"/>
          <w:highlight w:val="none"/>
          <w:lang w:val="en-US" w:eastAsia="zh-CN"/>
        </w:rPr>
        <w:t>打造以涉企执法备案平台为基础的行政执法监督信息化平台，推动涉企行政执法现场检查全周期闭环监督。</w:t>
      </w:r>
      <w:r>
        <w:rPr>
          <w:rFonts w:hint="default" w:ascii="Times New Roman" w:hAnsi="Times New Roman" w:eastAsia="方正仿宋_GBK" w:cs="Times New Roman"/>
          <w:color w:val="auto"/>
          <w:sz w:val="32"/>
          <w:szCs w:val="40"/>
          <w:highlight w:val="none"/>
          <w:lang w:val="en-US" w:eastAsia="zh-CN"/>
        </w:rPr>
        <w:t>深化“双随机、一公开”监管“四全”工作机制，推进检查事项全覆盖、信用结果全运用、监管方式全融合、问题处置全闭环，拓展部门联合“查多项事”和“综合查一次”行业领域。全面落实市场监管领域轻微违法行为不予处罚、从轻处罚和不予行政强制措施三项清单的规定，严格执行免罚轻罚裁量因素认定标准、扩充免罚轻罚清单内容。</w:t>
      </w:r>
      <w:r>
        <w:rPr>
          <w:rFonts w:hint="default" w:ascii="Times New Roman" w:hAnsi="Times New Roman" w:eastAsia="方正楷体_GBK" w:cs="Times New Roman"/>
          <w:snapToGrid/>
          <w:color w:val="auto"/>
          <w:kern w:val="2"/>
          <w:sz w:val="32"/>
          <w:szCs w:val="40"/>
          <w:highlight w:val="none"/>
          <w:lang w:val="en-US" w:eastAsia="zh-CN" w:bidi="ar-SA"/>
        </w:rPr>
        <w:t>（责任单位：市市场监管局、市司法局、市生态环境局、市交通局、市住建局、市应急管理局、市税务局等有关部门）</w:t>
      </w:r>
    </w:p>
    <w:p w14:paraId="775476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40"/>
          <w:highlight w:val="none"/>
          <w:lang w:val="en-US" w:eastAsia="zh-CN"/>
        </w:rPr>
      </w:pPr>
      <w:r>
        <w:rPr>
          <w:rFonts w:hint="default" w:ascii="Times New Roman" w:hAnsi="Times New Roman" w:eastAsia="方正仿宋_GBK" w:cs="Times New Roman"/>
          <w:color w:val="auto"/>
          <w:sz w:val="32"/>
          <w:szCs w:val="40"/>
          <w:highlight w:val="none"/>
          <w:lang w:val="en-US" w:eastAsia="zh-CN"/>
        </w:rPr>
        <w:t>以上</w:t>
      </w:r>
      <w:r>
        <w:rPr>
          <w:rFonts w:hint="eastAsia" w:ascii="Times New Roman" w:hAnsi="Times New Roman" w:eastAsia="方正仿宋_GBK" w:cs="Times New Roman"/>
          <w:color w:val="auto"/>
          <w:sz w:val="32"/>
          <w:szCs w:val="40"/>
          <w:highlight w:val="none"/>
          <w:lang w:val="en-US" w:eastAsia="zh-CN"/>
        </w:rPr>
        <w:t>贯彻落实意见</w:t>
      </w:r>
      <w:r>
        <w:rPr>
          <w:rFonts w:hint="default" w:ascii="Times New Roman" w:hAnsi="Times New Roman" w:eastAsia="方正仿宋_GBK" w:cs="Times New Roman"/>
          <w:color w:val="auto"/>
          <w:sz w:val="32"/>
          <w:szCs w:val="40"/>
          <w:highlight w:val="none"/>
          <w:lang w:val="en-US" w:eastAsia="zh-CN"/>
        </w:rPr>
        <w:t>自公布之日起实施，除有明确规定时限或者另有规定以外，有效期至</w:t>
      </w:r>
      <w:bookmarkStart w:id="0" w:name="_GoBack"/>
      <w:bookmarkEnd w:id="0"/>
      <w:r>
        <w:rPr>
          <w:rFonts w:hint="default" w:ascii="Times New Roman" w:hAnsi="Times New Roman" w:eastAsia="方正仿宋_GBK" w:cs="Times New Roman"/>
          <w:color w:val="auto"/>
          <w:sz w:val="32"/>
          <w:szCs w:val="40"/>
          <w:highlight w:val="none"/>
          <w:lang w:val="en-US" w:eastAsia="zh-CN"/>
        </w:rPr>
        <w:t>2025年12月31日。</w:t>
      </w:r>
    </w:p>
    <w:p w14:paraId="3FCE3F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40"/>
          <w:highlight w:val="none"/>
          <w:lang w:val="en-US" w:eastAsia="zh-CN"/>
        </w:rPr>
      </w:pPr>
    </w:p>
    <w:sectPr>
      <w:footerReference r:id="rId3" w:type="default"/>
      <w:pgSz w:w="11906" w:h="16838"/>
      <w:pgMar w:top="209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D8D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1C7E0">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D1C7E0">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ZWJiNjg3YzhhMDRjYjY5OGU1MTRmZWNiODgxNTcifQ=="/>
  </w:docVars>
  <w:rsids>
    <w:rsidRoot w:val="00000000"/>
    <w:rsid w:val="00296707"/>
    <w:rsid w:val="00423C6D"/>
    <w:rsid w:val="010D7DD7"/>
    <w:rsid w:val="02DD6033"/>
    <w:rsid w:val="0350726E"/>
    <w:rsid w:val="061816F7"/>
    <w:rsid w:val="06684CF2"/>
    <w:rsid w:val="0753050D"/>
    <w:rsid w:val="07846919"/>
    <w:rsid w:val="07F57639"/>
    <w:rsid w:val="084F5179"/>
    <w:rsid w:val="0A9D40CC"/>
    <w:rsid w:val="0B1A381C"/>
    <w:rsid w:val="0BA61553"/>
    <w:rsid w:val="0F1113DA"/>
    <w:rsid w:val="0F957915"/>
    <w:rsid w:val="0FAD6A32"/>
    <w:rsid w:val="0FE06B2B"/>
    <w:rsid w:val="10B262A5"/>
    <w:rsid w:val="11B61DC5"/>
    <w:rsid w:val="12DB2DED"/>
    <w:rsid w:val="133E2072"/>
    <w:rsid w:val="139C2A90"/>
    <w:rsid w:val="143E7221"/>
    <w:rsid w:val="14861F22"/>
    <w:rsid w:val="14A16D5C"/>
    <w:rsid w:val="15450FF4"/>
    <w:rsid w:val="167F131F"/>
    <w:rsid w:val="172A128B"/>
    <w:rsid w:val="17AF353E"/>
    <w:rsid w:val="19436634"/>
    <w:rsid w:val="19AE7773"/>
    <w:rsid w:val="1AA9696A"/>
    <w:rsid w:val="1B351FAC"/>
    <w:rsid w:val="1B5D4E02"/>
    <w:rsid w:val="1BC17CE4"/>
    <w:rsid w:val="1BE500D4"/>
    <w:rsid w:val="1C1442B7"/>
    <w:rsid w:val="1CE60273"/>
    <w:rsid w:val="1D6E6DA7"/>
    <w:rsid w:val="1E2C6B21"/>
    <w:rsid w:val="1E8A6AB3"/>
    <w:rsid w:val="1F3C1B5B"/>
    <w:rsid w:val="20016901"/>
    <w:rsid w:val="21565C93"/>
    <w:rsid w:val="218F66B0"/>
    <w:rsid w:val="225B287E"/>
    <w:rsid w:val="23F4756D"/>
    <w:rsid w:val="244975D4"/>
    <w:rsid w:val="27EA1068"/>
    <w:rsid w:val="281448D2"/>
    <w:rsid w:val="28245882"/>
    <w:rsid w:val="285D2251"/>
    <w:rsid w:val="286B34B1"/>
    <w:rsid w:val="29850CF1"/>
    <w:rsid w:val="29861465"/>
    <w:rsid w:val="2AFC6642"/>
    <w:rsid w:val="2B032FDC"/>
    <w:rsid w:val="2C8E4B0F"/>
    <w:rsid w:val="2C9548FD"/>
    <w:rsid w:val="2D7368E3"/>
    <w:rsid w:val="2D804E34"/>
    <w:rsid w:val="2D825BED"/>
    <w:rsid w:val="2DD45C6F"/>
    <w:rsid w:val="2E3D769E"/>
    <w:rsid w:val="2F4C51A0"/>
    <w:rsid w:val="2FEE5A69"/>
    <w:rsid w:val="300C7328"/>
    <w:rsid w:val="306B4237"/>
    <w:rsid w:val="30BB4A5C"/>
    <w:rsid w:val="30CD355F"/>
    <w:rsid w:val="327348EE"/>
    <w:rsid w:val="33605D91"/>
    <w:rsid w:val="34604473"/>
    <w:rsid w:val="34C208FD"/>
    <w:rsid w:val="360D66D6"/>
    <w:rsid w:val="361138EA"/>
    <w:rsid w:val="3A282FB0"/>
    <w:rsid w:val="3A7461F5"/>
    <w:rsid w:val="3AE40A87"/>
    <w:rsid w:val="3AEE7629"/>
    <w:rsid w:val="3B684071"/>
    <w:rsid w:val="3BD74B5F"/>
    <w:rsid w:val="3C3A59A8"/>
    <w:rsid w:val="3C651733"/>
    <w:rsid w:val="3D9A100A"/>
    <w:rsid w:val="3F8734D3"/>
    <w:rsid w:val="3FAE03FB"/>
    <w:rsid w:val="3FD37E62"/>
    <w:rsid w:val="40B97058"/>
    <w:rsid w:val="41166258"/>
    <w:rsid w:val="41232723"/>
    <w:rsid w:val="42823A7B"/>
    <w:rsid w:val="428766C3"/>
    <w:rsid w:val="42A142B5"/>
    <w:rsid w:val="444C20C5"/>
    <w:rsid w:val="45991206"/>
    <w:rsid w:val="460C19D8"/>
    <w:rsid w:val="4734568A"/>
    <w:rsid w:val="47BC50AF"/>
    <w:rsid w:val="488E3E41"/>
    <w:rsid w:val="49C16F7D"/>
    <w:rsid w:val="49F346BD"/>
    <w:rsid w:val="4A005121"/>
    <w:rsid w:val="4A707B6A"/>
    <w:rsid w:val="4ABD7744"/>
    <w:rsid w:val="4B2477C4"/>
    <w:rsid w:val="4C1C55CC"/>
    <w:rsid w:val="4CAF7561"/>
    <w:rsid w:val="4CD314A1"/>
    <w:rsid w:val="4D4B4F32"/>
    <w:rsid w:val="4DD0778F"/>
    <w:rsid w:val="4EA64848"/>
    <w:rsid w:val="4F450447"/>
    <w:rsid w:val="5099071F"/>
    <w:rsid w:val="515F7661"/>
    <w:rsid w:val="52306A4E"/>
    <w:rsid w:val="53484ADC"/>
    <w:rsid w:val="536D67FD"/>
    <w:rsid w:val="537F1DE8"/>
    <w:rsid w:val="547A0454"/>
    <w:rsid w:val="547C512C"/>
    <w:rsid w:val="54B525ED"/>
    <w:rsid w:val="54E63D3C"/>
    <w:rsid w:val="55E464CD"/>
    <w:rsid w:val="56462CE4"/>
    <w:rsid w:val="56881EF5"/>
    <w:rsid w:val="56EB3700"/>
    <w:rsid w:val="571406EC"/>
    <w:rsid w:val="577D25DC"/>
    <w:rsid w:val="5A19426B"/>
    <w:rsid w:val="5B195E6F"/>
    <w:rsid w:val="5B362ED0"/>
    <w:rsid w:val="5BB068AE"/>
    <w:rsid w:val="5BF27D14"/>
    <w:rsid w:val="5C9C5E8C"/>
    <w:rsid w:val="5CC6692D"/>
    <w:rsid w:val="5D1549E3"/>
    <w:rsid w:val="5D1A6EBA"/>
    <w:rsid w:val="5D3036D4"/>
    <w:rsid w:val="5D576714"/>
    <w:rsid w:val="5D681193"/>
    <w:rsid w:val="5F4A3030"/>
    <w:rsid w:val="5F82462F"/>
    <w:rsid w:val="5FCF3D4A"/>
    <w:rsid w:val="6129460F"/>
    <w:rsid w:val="61AE5BE1"/>
    <w:rsid w:val="61FC124A"/>
    <w:rsid w:val="62C751AC"/>
    <w:rsid w:val="62CF186C"/>
    <w:rsid w:val="62F92E8C"/>
    <w:rsid w:val="633313A9"/>
    <w:rsid w:val="646B3CDD"/>
    <w:rsid w:val="647153D0"/>
    <w:rsid w:val="658A426F"/>
    <w:rsid w:val="66F422E8"/>
    <w:rsid w:val="67673B16"/>
    <w:rsid w:val="69DD52B6"/>
    <w:rsid w:val="6D6F4477"/>
    <w:rsid w:val="6DB85E1E"/>
    <w:rsid w:val="6F7E5308"/>
    <w:rsid w:val="70275259"/>
    <w:rsid w:val="704E68B1"/>
    <w:rsid w:val="71662034"/>
    <w:rsid w:val="71C33E8C"/>
    <w:rsid w:val="7231619E"/>
    <w:rsid w:val="72FE456F"/>
    <w:rsid w:val="730D6387"/>
    <w:rsid w:val="73683E42"/>
    <w:rsid w:val="74051691"/>
    <w:rsid w:val="746A5D06"/>
    <w:rsid w:val="7497467E"/>
    <w:rsid w:val="754A4A10"/>
    <w:rsid w:val="75B922AF"/>
    <w:rsid w:val="76465F91"/>
    <w:rsid w:val="76F60EC6"/>
    <w:rsid w:val="77B51620"/>
    <w:rsid w:val="77CB2BF1"/>
    <w:rsid w:val="79EF248D"/>
    <w:rsid w:val="79F3642F"/>
    <w:rsid w:val="7ADA0F4F"/>
    <w:rsid w:val="7C130372"/>
    <w:rsid w:val="7C831CEC"/>
    <w:rsid w:val="7CA80308"/>
    <w:rsid w:val="7F53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Balloon Text"/>
    <w:basedOn w:val="1"/>
    <w:qFormat/>
    <w:uiPriority w:val="0"/>
    <w:pPr>
      <w:autoSpaceDE/>
      <w:autoSpaceDN/>
      <w:snapToGrid/>
      <w:spacing w:line="240" w:lineRule="auto"/>
      <w:ind w:firstLine="0"/>
    </w:pPr>
    <w:rPr>
      <w:rFonts w:ascii="Calibri" w:hAnsi="Calibri" w:eastAsia="宋体"/>
      <w:snapToGrid/>
      <w:kern w:val="2"/>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unhideWhenUsed/>
    <w:qFormat/>
    <w:uiPriority w:val="99"/>
    <w:pPr>
      <w:widowControl w:val="0"/>
      <w:ind w:firstLine="420" w:firstLineChars="200"/>
    </w:pPr>
    <w:rPr>
      <w:rFonts w:eastAsiaTheme="minorEastAsia"/>
      <w:szCs w:val="24"/>
    </w:rPr>
  </w:style>
  <w:style w:type="character" w:styleId="11">
    <w:name w:val="Emphasis"/>
    <w:basedOn w:val="10"/>
    <w:qFormat/>
    <w:uiPriority w:val="0"/>
    <w:rPr>
      <w:i/>
    </w:rPr>
  </w:style>
  <w:style w:type="paragraph" w:customStyle="1" w:styleId="12">
    <w:name w:val="Body Text First Indent1"/>
    <w:basedOn w:val="2"/>
    <w:next w:val="4"/>
    <w:qFormat/>
    <w:uiPriority w:val="0"/>
    <w:pPr>
      <w:ind w:firstLine="420" w:firstLineChars="100"/>
    </w:pPr>
    <w:rPr>
      <w:sz w:val="21"/>
    </w:rPr>
  </w:style>
  <w:style w:type="paragraph" w:customStyle="1" w:styleId="13">
    <w:name w:val="公文（正文）"/>
    <w:basedOn w:val="1"/>
    <w:autoRedefine/>
    <w:qFormat/>
    <w:uiPriority w:val="0"/>
    <w:pPr>
      <w:widowControl/>
      <w:spacing w:line="560" w:lineRule="exact"/>
      <w:ind w:firstLine="200" w:firstLineChars="200"/>
      <w:jc w:val="left"/>
    </w:pPr>
    <w:rPr>
      <w:rFonts w:ascii="Times New Roman" w:hAnsi="Times New Roman" w:eastAsia="方正仿宋_GBK" w:cstheme="minorBidi"/>
      <w:color w:val="000000" w:themeColor="text1"/>
      <w:kern w:val="0"/>
      <w:sz w:val="32"/>
      <w:szCs w:val="22"/>
      <w14:textFill>
        <w14:solidFill>
          <w14:schemeClr w14:val="tx1"/>
        </w14:solidFill>
      </w14:textFill>
    </w:rPr>
  </w:style>
  <w:style w:type="character" w:customStyle="1" w:styleId="14">
    <w:name w:val="font21"/>
    <w:basedOn w:val="10"/>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10437</Words>
  <Characters>10817</Characters>
  <Lines>0</Lines>
  <Paragraphs>0</Paragraphs>
  <TotalTime>21</TotalTime>
  <ScaleCrop>false</ScaleCrop>
  <LinksUpToDate>false</LinksUpToDate>
  <CharactersWithSpaces>10855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2024-08-27T02:37:00Z</dcterms:created>
  <dc:creator>82550</dc:creator>
  <cp:lastModifiedBy>徐伟</cp:lastModifiedBy>
  <dcterms:modified xsi:type="dcterms:W3CDTF">2024-09-18T02:50:50Z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6C4CEEAE42604D35BA80A5338A848958_13</vt:lpwstr>
  </property>
</Properties>
</file>